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757D9">
      <w:pPr>
        <w:pStyle w:val="34"/>
        <w:spacing w:line="560" w:lineRule="exact"/>
        <w:ind w:left="0" w:leftChars="0" w:firstLine="0" w:firstLineChars="0"/>
        <w:jc w:val="both"/>
        <w:rPr>
          <w:rFonts w:hint="eastAsia"/>
          <w:b w:val="0"/>
          <w:lang w:eastAsia="zh-CN"/>
        </w:rPr>
      </w:pPr>
      <w:bookmarkStart w:id="0" w:name="OLE_LINK1"/>
    </w:p>
    <w:p w14:paraId="668D82B5">
      <w:pPr>
        <w:pStyle w:val="34"/>
        <w:spacing w:line="560" w:lineRule="exact"/>
        <w:jc w:val="both"/>
        <w:rPr>
          <w:b w:val="0"/>
          <w:lang w:eastAsia="zh-CN"/>
        </w:rPr>
      </w:pPr>
      <w:r>
        <w:rPr>
          <w:rFonts w:hint="eastAsia"/>
          <w:b w:val="0"/>
          <w:lang w:eastAsia="zh-CN"/>
        </w:rPr>
        <w:t>内蒙古银行信用卡积分实施细则</w:t>
      </w:r>
    </w:p>
    <w:bookmarkEnd w:id="0"/>
    <w:p w14:paraId="746678EB">
      <w:pPr>
        <w:spacing w:line="560" w:lineRule="exact"/>
        <w:ind w:left="1134" w:leftChars="540" w:firstLine="1800" w:firstLineChars="600"/>
        <w:rPr>
          <w:rFonts w:hint="eastAsia" w:ascii="仿宋" w:hAnsi="仿宋" w:eastAsia="仿宋" w:cs="仿宋"/>
          <w:color w:val="000000"/>
          <w:sz w:val="30"/>
          <w:szCs w:val="30"/>
        </w:rPr>
      </w:pPr>
    </w:p>
    <w:p w14:paraId="464949B5">
      <w:pPr>
        <w:spacing w:line="560" w:lineRule="exact"/>
        <w:ind w:left="1134" w:leftChars="540" w:firstLine="2080" w:firstLineChars="650"/>
        <w:rPr>
          <w:rFonts w:hint="eastAsia" w:ascii="黑体" w:hAnsi="仿宋" w:eastAsia="黑体" w:cs="仿宋"/>
          <w:color w:val="000000"/>
          <w:sz w:val="32"/>
          <w:szCs w:val="32"/>
        </w:rPr>
      </w:pPr>
      <w:r>
        <w:rPr>
          <w:rFonts w:hint="eastAsia" w:ascii="黑体" w:hAnsi="仿宋" w:eastAsia="黑体" w:cs="仿宋"/>
          <w:color w:val="000000"/>
          <w:sz w:val="32"/>
          <w:szCs w:val="32"/>
        </w:rPr>
        <w:t>第一章  总  则</w:t>
      </w:r>
    </w:p>
    <w:p w14:paraId="06FACCB4">
      <w:pPr>
        <w:spacing w:line="560" w:lineRule="exact"/>
        <w:ind w:left="1135"/>
        <w:jc w:val="center"/>
        <w:rPr>
          <w:rFonts w:ascii="黑体" w:hAnsi="仿宋" w:eastAsia="黑体" w:cs="仿宋"/>
          <w:color w:val="000000"/>
          <w:sz w:val="32"/>
          <w:szCs w:val="32"/>
        </w:rPr>
      </w:pPr>
    </w:p>
    <w:p w14:paraId="282EA06E">
      <w:pPr>
        <w:spacing w:line="56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第一条</w:t>
      </w:r>
      <w:r>
        <w:rPr>
          <w:rFonts w:hint="eastAsia" w:ascii="仿宋_GB2312" w:hAnsi="仿宋" w:eastAsia="仿宋_GB2312" w:cs="仿宋"/>
          <w:color w:val="000000"/>
          <w:sz w:val="32"/>
          <w:szCs w:val="32"/>
        </w:rPr>
        <w:t xml:space="preserve"> 为规范内蒙古银行信用卡积分及积分兑换活动，特制订内蒙古银行信用卡积分实施细则。</w:t>
      </w:r>
    </w:p>
    <w:p w14:paraId="3E8E0C00">
      <w:pPr>
        <w:spacing w:line="56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第二条</w:t>
      </w:r>
      <w:r>
        <w:rPr>
          <w:rFonts w:hint="eastAsia" w:ascii="仿宋_GB2312" w:hAnsi="仿宋" w:eastAsia="仿宋_GB2312" w:cs="仿宋"/>
          <w:color w:val="000000"/>
          <w:sz w:val="32"/>
          <w:szCs w:val="32"/>
        </w:rPr>
        <w:t xml:space="preserve"> 本细则所称信用卡积分（以下简称积分）是指内蒙古银行信用卡持卡人用卡消费、支付等行为，依照规则赋予持卡人一定分值，该分值可用于兑换礼品、抵顶年费等其他增值服务。</w:t>
      </w:r>
    </w:p>
    <w:p w14:paraId="4455576E">
      <w:pPr>
        <w:spacing w:line="56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第三条</w:t>
      </w:r>
      <w:r>
        <w:rPr>
          <w:rFonts w:hint="eastAsia" w:ascii="仿宋_GB2312" w:hAnsi="仿宋" w:eastAsia="仿宋_GB2312" w:cs="仿宋"/>
          <w:color w:val="000000"/>
          <w:sz w:val="32"/>
          <w:szCs w:val="32"/>
        </w:rPr>
        <w:t xml:space="preserve"> 凡持有有效的内蒙古银行信用卡的持卡人正常获得的积分均可参加积分兑换。附属卡消费累积的积分归集至对应的主持卡人积分账户。</w:t>
      </w:r>
    </w:p>
    <w:p w14:paraId="7B4DDE87">
      <w:pPr>
        <w:spacing w:line="560" w:lineRule="exact"/>
        <w:ind w:firstLine="630" w:firstLineChars="196"/>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第四条</w:t>
      </w:r>
      <w:r>
        <w:rPr>
          <w:rFonts w:hint="eastAsia" w:ascii="仿宋_GB2312" w:hAnsi="仿宋" w:eastAsia="仿宋_GB2312" w:cs="仿宋"/>
          <w:color w:val="000000"/>
          <w:sz w:val="32"/>
          <w:szCs w:val="32"/>
        </w:rPr>
        <w:t xml:space="preserve"> 持卡人如有下述情形，持卡人丧失兑换积分资格：</w:t>
      </w:r>
    </w:p>
    <w:p w14:paraId="563C707C">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1.利用虚假交易套取积分或违反约定将卡片转借他人使用。</w:t>
      </w:r>
    </w:p>
    <w:p w14:paraId="7B41FAAB">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2.经司法机关或其他有权机关冻结或止付的。</w:t>
      </w:r>
    </w:p>
    <w:p w14:paraId="69ADDF36">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3.没有在有效期内兑换的。</w:t>
      </w:r>
    </w:p>
    <w:p w14:paraId="5518DBA5">
      <w:pPr>
        <w:spacing w:line="560" w:lineRule="exact"/>
        <w:ind w:firstLine="630" w:firstLineChars="196"/>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第五条</w:t>
      </w:r>
      <w:r>
        <w:rPr>
          <w:rFonts w:hint="eastAsia" w:ascii="仿宋_GB2312" w:hAnsi="仿宋" w:eastAsia="仿宋_GB2312" w:cs="仿宋"/>
          <w:color w:val="000000"/>
          <w:sz w:val="32"/>
          <w:szCs w:val="32"/>
        </w:rPr>
        <w:t xml:space="preserve"> 积分为内蒙古银行对持卡人刷卡消费的增值服务，在兑换取得积分礼品前并不构成持卡人资产，仅支持本人使用，积分不可继承、转赠给其他人，且不得要求将积分折算现金或其它费用给付。</w:t>
      </w:r>
    </w:p>
    <w:p w14:paraId="2C49A294">
      <w:pPr>
        <w:spacing w:line="560" w:lineRule="exact"/>
        <w:ind w:left="1135"/>
        <w:jc w:val="center"/>
        <w:rPr>
          <w:rFonts w:hint="eastAsia" w:ascii="仿宋_GB2312" w:hAnsi="仿宋" w:eastAsia="仿宋_GB2312" w:cs="仿宋"/>
          <w:color w:val="000000"/>
          <w:sz w:val="32"/>
          <w:szCs w:val="32"/>
        </w:rPr>
      </w:pPr>
    </w:p>
    <w:p w14:paraId="0309B2AF">
      <w:pPr>
        <w:spacing w:line="560" w:lineRule="exact"/>
        <w:ind w:left="1134" w:leftChars="540" w:firstLine="1440" w:firstLineChars="450"/>
        <w:rPr>
          <w:rFonts w:hint="eastAsia" w:ascii="黑体" w:hAnsi="仿宋" w:eastAsia="黑体" w:cs="仿宋"/>
          <w:color w:val="000000"/>
          <w:sz w:val="32"/>
          <w:szCs w:val="32"/>
        </w:rPr>
      </w:pPr>
      <w:r>
        <w:rPr>
          <w:rFonts w:hint="eastAsia" w:ascii="黑体" w:hAnsi="仿宋" w:eastAsia="黑体" w:cs="仿宋"/>
          <w:color w:val="000000"/>
          <w:sz w:val="32"/>
          <w:szCs w:val="32"/>
        </w:rPr>
        <w:t>第二章  积分累积规则</w:t>
      </w:r>
    </w:p>
    <w:p w14:paraId="048073F1">
      <w:pPr>
        <w:spacing w:line="560" w:lineRule="exact"/>
        <w:ind w:left="1135"/>
        <w:jc w:val="center"/>
        <w:rPr>
          <w:rFonts w:ascii="黑体" w:hAnsi="仿宋" w:eastAsia="黑体" w:cs="仿宋"/>
          <w:color w:val="000000"/>
          <w:sz w:val="32"/>
          <w:szCs w:val="32"/>
        </w:rPr>
      </w:pPr>
    </w:p>
    <w:p w14:paraId="35AA26BC">
      <w:pPr>
        <w:spacing w:line="560" w:lineRule="exact"/>
        <w:ind w:firstLine="630" w:firstLineChars="196"/>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第六条</w:t>
      </w:r>
      <w:r>
        <w:rPr>
          <w:rFonts w:hint="eastAsia" w:ascii="仿宋_GB2312" w:hAnsi="仿宋" w:eastAsia="仿宋_GB2312" w:cs="仿宋"/>
          <w:color w:val="000000"/>
          <w:sz w:val="32"/>
          <w:szCs w:val="32"/>
        </w:rPr>
        <w:t xml:space="preserve"> 持卡人使用内蒙古银行信用卡在宾馆、酒店、餐饮、娱乐、百货公司、其他零售商店类商户的消费可获得积分并累计积分。</w:t>
      </w:r>
    </w:p>
    <w:p w14:paraId="188AF003">
      <w:pPr>
        <w:spacing w:line="560" w:lineRule="exact"/>
        <w:ind w:firstLine="630" w:firstLineChars="196"/>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第七条</w:t>
      </w:r>
      <w:r>
        <w:rPr>
          <w:rFonts w:hint="eastAsia" w:ascii="仿宋_GB2312" w:hAnsi="仿宋" w:eastAsia="仿宋_GB2312" w:cs="仿宋"/>
          <w:color w:val="000000"/>
          <w:sz w:val="32"/>
          <w:szCs w:val="32"/>
        </w:rPr>
        <w:t xml:space="preserve"> 内蒙古银行信用卡各卡种消费积分或活动奖励积分可设有效期。每笔积分具有独立的入账日期和独立的有效期。</w:t>
      </w:r>
      <w:r>
        <w:rPr>
          <w:rFonts w:hint="eastAsia" w:ascii="仿宋_GB2312" w:hAnsi="黑体" w:eastAsia="仿宋_GB2312"/>
          <w:sz w:val="32"/>
          <w:szCs w:val="32"/>
        </w:rPr>
        <w:t>消费积分有效期为2年，过期清零；</w:t>
      </w:r>
      <w:r>
        <w:rPr>
          <w:rFonts w:hint="eastAsia" w:ascii="仿宋_GB2312" w:hAnsi="仿宋" w:eastAsia="仿宋_GB2312" w:cs="仿宋"/>
          <w:color w:val="000000"/>
          <w:sz w:val="32"/>
          <w:szCs w:val="32"/>
        </w:rPr>
        <w:t>奖励积分按活动所公布的活动条款计算和使用。</w:t>
      </w:r>
    </w:p>
    <w:p w14:paraId="28F5FA21">
      <w:pPr>
        <w:spacing w:line="560" w:lineRule="exact"/>
        <w:ind w:firstLine="630" w:firstLineChars="196"/>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第八条</w:t>
      </w:r>
      <w:r>
        <w:rPr>
          <w:rFonts w:hint="eastAsia" w:ascii="仿宋_GB2312" w:hAnsi="仿宋" w:eastAsia="仿宋_GB2312" w:cs="仿宋"/>
          <w:color w:val="000000"/>
          <w:sz w:val="32"/>
          <w:szCs w:val="32"/>
        </w:rPr>
        <w:t xml:space="preserve"> 无论任何理由刷卡交易成功后，进行的退货退款撤销冲正，将扣除原先通过此笔交易取得的积分。如在扣除积分前，持卡人已将积分用于兑换礼品导致其积分账户中无足够积分余额可供扣除，其积分账户内积分余额将被扣除为负值，内蒙古银行有权向持卡人追回已兑换的积分，并有权将已兑换的积分项目作为持卡人应还款项等价记入其账户。</w:t>
      </w:r>
    </w:p>
    <w:p w14:paraId="206F76DF">
      <w:pPr>
        <w:spacing w:line="560" w:lineRule="exact"/>
        <w:ind w:firstLine="630" w:firstLineChars="196"/>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第九条</w:t>
      </w:r>
      <w:r>
        <w:rPr>
          <w:rFonts w:hint="eastAsia" w:ascii="仿宋_GB2312" w:hAnsi="仿宋" w:eastAsia="仿宋_GB2312" w:cs="仿宋"/>
          <w:color w:val="000000"/>
          <w:sz w:val="32"/>
          <w:szCs w:val="32"/>
        </w:rPr>
        <w:t xml:space="preserve"> 不予计算积分的情况</w:t>
      </w:r>
    </w:p>
    <w:p w14:paraId="54C2AC0D">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1.信用卡取现、还款、支付的利息、年费、违约金、分期付款手续费及其它各项费用；</w:t>
      </w:r>
    </w:p>
    <w:p w14:paraId="108858E4">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2.通过代扣代缴方式支付相关费用的交易；</w:t>
      </w:r>
    </w:p>
    <w:p w14:paraId="7F094EA4">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3.在银联特殊类收单商户的消费交易和支付交易（如保险、投资、纳税、罚款），商户类型包括但不限于医院、学校、政府、保险、投资类公共缴费、金融行业、社会服务等非盈利性行业的商户；</w:t>
      </w:r>
    </w:p>
    <w:p w14:paraId="3DAA1B36">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4.购车分期、装修分期、车位分期、留学分期、教育分期、旅游分期、消费分期、账单分期、灵活分期、现金分期等各类分期业务；</w:t>
      </w:r>
    </w:p>
    <w:p w14:paraId="6ACF0520">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5.其他内蒙古银行指定的不记积分的商户，包括但不限于房产、汽车、批发以及本代本免手续费的特惠商户和不记积分的收单机构交易；</w:t>
      </w:r>
    </w:p>
    <w:p w14:paraId="454DB943">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6.由于收单机构未按照中国银联规定正确安装银行卡受理机具，导致不应积分的交易被计算了积分，内蒙古银行有权扣除持卡人的该部分积分；因收单行或商户未按照中国银联的规定正确设置商户类别导致积分未累计的，内蒙古银行不承担相关责任，不进行补记积分。</w:t>
      </w:r>
    </w:p>
    <w:p w14:paraId="3F8BE707">
      <w:pPr>
        <w:spacing w:line="56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第十条</w:t>
      </w:r>
      <w:r>
        <w:rPr>
          <w:rFonts w:hint="eastAsia" w:ascii="仿宋_GB2312" w:hAnsi="仿宋" w:eastAsia="仿宋_GB2312" w:cs="仿宋"/>
          <w:color w:val="000000"/>
          <w:sz w:val="32"/>
          <w:szCs w:val="32"/>
        </w:rPr>
        <w:t xml:space="preserve"> 内蒙古银行有权审查持卡人获取积分交易的合法性、真实性和正当性，并要求持卡人提供POS签购单、购物发票等证明材料。如持卡人无法按期提供符合我行要求的证明材料； </w:t>
      </w:r>
      <w:r>
        <w:rPr>
          <w:rFonts w:hint="eastAsia" w:ascii="仿宋_GB2312" w:hAnsi="仿宋" w:eastAsia="仿宋_GB2312" w:cs="仿宋"/>
          <w:color w:val="auto"/>
          <w:sz w:val="32"/>
          <w:szCs w:val="32"/>
        </w:rPr>
        <w:t>我行有权根据交</w:t>
      </w:r>
      <w:r>
        <w:rPr>
          <w:rFonts w:hint="eastAsia" w:ascii="仿宋_GB2312" w:hAnsi="仿宋" w:eastAsia="仿宋_GB2312" w:cs="仿宋"/>
          <w:color w:val="000000"/>
          <w:sz w:val="32"/>
          <w:szCs w:val="32"/>
        </w:rPr>
        <w:t>易情况认定持卡人套现、伪造虚假交易获取积分兑换套利；以及持卡人违反法律法规及监管政策，内蒙古银行有权不授予持卡人积分、或者采取冻结积分、回扣积分、积分清零等操作，并保留进一步追索的权利。如前述行为可能构成犯罪的，内蒙古银行有权向公安机关报案并向司法机关提供相关资料和信息。</w:t>
      </w:r>
    </w:p>
    <w:p w14:paraId="751BA469">
      <w:pPr>
        <w:spacing w:line="560" w:lineRule="exact"/>
        <w:ind w:firstLine="640" w:firstLineChars="200"/>
        <w:rPr>
          <w:rFonts w:ascii="仿宋_GB2312" w:hAnsi="仿宋" w:eastAsia="仿宋_GB2312" w:cs="仿宋"/>
          <w:color w:val="000000"/>
          <w:sz w:val="32"/>
          <w:szCs w:val="32"/>
        </w:rPr>
      </w:pPr>
    </w:p>
    <w:p w14:paraId="14EC97A7">
      <w:pPr>
        <w:spacing w:line="560" w:lineRule="exact"/>
        <w:ind w:left="1135"/>
        <w:jc w:val="center"/>
        <w:rPr>
          <w:rFonts w:hint="eastAsia" w:ascii="黑体" w:hAnsi="仿宋" w:eastAsia="黑体" w:cs="仿宋"/>
          <w:color w:val="000000"/>
          <w:sz w:val="32"/>
          <w:szCs w:val="32"/>
        </w:rPr>
      </w:pPr>
      <w:r>
        <w:rPr>
          <w:rFonts w:hint="eastAsia" w:ascii="黑体" w:hAnsi="仿宋" w:eastAsia="黑体" w:cs="仿宋"/>
          <w:color w:val="000000"/>
          <w:sz w:val="32"/>
          <w:szCs w:val="32"/>
        </w:rPr>
        <w:t>第三章  积分的计算方式</w:t>
      </w:r>
    </w:p>
    <w:p w14:paraId="5ACA3B6C">
      <w:pPr>
        <w:spacing w:line="560" w:lineRule="exact"/>
        <w:ind w:left="1135"/>
        <w:jc w:val="center"/>
        <w:rPr>
          <w:rFonts w:ascii="黑体" w:hAnsi="仿宋" w:eastAsia="黑体" w:cs="仿宋"/>
          <w:color w:val="000000"/>
          <w:sz w:val="32"/>
          <w:szCs w:val="32"/>
        </w:rPr>
      </w:pPr>
    </w:p>
    <w:p w14:paraId="33AD180C">
      <w:pPr>
        <w:spacing w:line="56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第十一条</w:t>
      </w:r>
      <w:r>
        <w:rPr>
          <w:rFonts w:hint="eastAsia" w:ascii="仿宋_GB2312" w:hAnsi="仿宋" w:eastAsia="仿宋_GB2312" w:cs="仿宋"/>
          <w:color w:val="000000"/>
          <w:sz w:val="32"/>
          <w:szCs w:val="32"/>
        </w:rPr>
        <w:t xml:space="preserve"> 线上渠道消费计积分，每消费5元积1分。首笔消费双倍积分。积分计算日期为该笔消费的银行记账日。</w:t>
      </w:r>
    </w:p>
    <w:p w14:paraId="3ED1FDAB">
      <w:pPr>
        <w:spacing w:line="56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第十二条</w:t>
      </w:r>
      <w:r>
        <w:rPr>
          <w:rFonts w:hint="eastAsia" w:ascii="仿宋_GB2312" w:hAnsi="仿宋" w:eastAsia="仿宋_GB2312" w:cs="仿宋"/>
          <w:color w:val="000000"/>
          <w:sz w:val="32"/>
          <w:szCs w:val="32"/>
        </w:rPr>
        <w:t xml:space="preserve"> 单月积分累计上限规则</w:t>
      </w:r>
    </w:p>
    <w:p w14:paraId="1E965676">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自2020年8月1日起，我行将针对信用卡可计积分交易所获的积分增加按月（账期）封顶规则，2020年8月1日（含）之后入账的交易将按照新的积分规则计算积分，积分封顶值计算规则如下：</w:t>
      </w:r>
    </w:p>
    <w:p w14:paraId="77C68801">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1.普卡单月累计积分上限为30000分；金卡单月累计积分上限为50000分；白金卡单月累计积分上限为200000分；蒙商鸿雁卡单月累计积分上限为200000分；</w:t>
      </w:r>
    </w:p>
    <w:p w14:paraId="0F4115C8">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2.单个账单内，按照交易入账时间的先后顺序依次累计积分，如客户该账单内累计获得积分超过积分封顶值，超出的部分将不再赠送；</w:t>
      </w:r>
    </w:p>
    <w:p w14:paraId="4603831B">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3.营销活动所获奖励积分不受此积分封顶规则限制。</w:t>
      </w:r>
    </w:p>
    <w:p w14:paraId="37886C8D">
      <w:pPr>
        <w:spacing w:line="560" w:lineRule="exact"/>
        <w:ind w:firstLine="640" w:firstLineChars="200"/>
        <w:rPr>
          <w:rFonts w:ascii="仿宋_GB2312" w:hAnsi="仿宋" w:eastAsia="仿宋_GB2312" w:cs="仿宋"/>
          <w:color w:val="000000"/>
          <w:sz w:val="32"/>
          <w:szCs w:val="32"/>
        </w:rPr>
      </w:pPr>
    </w:p>
    <w:p w14:paraId="0E520D4D">
      <w:pPr>
        <w:spacing w:line="560" w:lineRule="exact"/>
        <w:ind w:left="1135"/>
        <w:jc w:val="center"/>
        <w:rPr>
          <w:rFonts w:hint="eastAsia" w:ascii="黑体" w:hAnsi="仿宋" w:eastAsia="黑体" w:cs="仿宋"/>
          <w:color w:val="000000"/>
          <w:sz w:val="32"/>
          <w:szCs w:val="32"/>
        </w:rPr>
      </w:pPr>
      <w:r>
        <w:rPr>
          <w:rFonts w:hint="eastAsia" w:ascii="黑体" w:hAnsi="仿宋" w:eastAsia="黑体" w:cs="仿宋"/>
          <w:color w:val="000000"/>
          <w:sz w:val="32"/>
          <w:szCs w:val="32"/>
        </w:rPr>
        <w:t>第四章  积分查询兑换规则</w:t>
      </w:r>
    </w:p>
    <w:p w14:paraId="20775AA5">
      <w:pPr>
        <w:spacing w:line="560" w:lineRule="exact"/>
        <w:ind w:left="1135"/>
        <w:jc w:val="center"/>
        <w:rPr>
          <w:rFonts w:ascii="黑体" w:hAnsi="仿宋" w:eastAsia="黑体" w:cs="仿宋"/>
          <w:color w:val="000000"/>
          <w:sz w:val="32"/>
          <w:szCs w:val="32"/>
        </w:rPr>
      </w:pPr>
    </w:p>
    <w:p w14:paraId="6C32331C">
      <w:pPr>
        <w:spacing w:line="560" w:lineRule="exact"/>
        <w:ind w:left="142" w:firstLine="482" w:firstLineChars="150"/>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 xml:space="preserve">第十三条 </w:t>
      </w:r>
      <w:r>
        <w:rPr>
          <w:rFonts w:hint="eastAsia" w:ascii="仿宋_GB2312" w:hAnsi="仿宋" w:eastAsia="仿宋_GB2312" w:cs="仿宋"/>
          <w:color w:val="000000"/>
          <w:sz w:val="32"/>
          <w:szCs w:val="32"/>
        </w:rPr>
        <w:t>持卡人可通过内蒙古银行网站、微信公众号、积分商城、手机银行、个人网银、网点柜台、客服热线等渠道查询积分余额。内蒙古银行将根据业务发展，对积分查询渠道进行调整、补充。如持卡人对积分交易明细有疑义，可致电客户服务热线40005-96019查询。</w:t>
      </w:r>
    </w:p>
    <w:p w14:paraId="14512A34">
      <w:pPr>
        <w:spacing w:line="56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第十四条</w:t>
      </w:r>
      <w:r>
        <w:rPr>
          <w:rFonts w:hint="eastAsia" w:ascii="仿宋_GB2312" w:hAnsi="仿宋" w:eastAsia="仿宋_GB2312" w:cs="仿宋"/>
          <w:color w:val="000000"/>
          <w:sz w:val="32"/>
          <w:szCs w:val="32"/>
        </w:rPr>
        <w:t xml:space="preserve"> 信用卡主卡持卡人有权兑换积分，附属卡持卡人不能兑换积分。礼品兑换需由持卡人提出，不同持卡人名下的积分不能合并使用（附属卡积分归集至主卡下的除外）。</w:t>
      </w:r>
    </w:p>
    <w:p w14:paraId="38569BD7">
      <w:pPr>
        <w:spacing w:line="560" w:lineRule="exact"/>
        <w:ind w:firstLine="630" w:firstLineChars="196"/>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第十五条</w:t>
      </w:r>
      <w:r>
        <w:rPr>
          <w:rFonts w:hint="eastAsia" w:ascii="仿宋_GB2312" w:hAnsi="仿宋" w:eastAsia="仿宋_GB2312" w:cs="仿宋"/>
          <w:color w:val="000000"/>
          <w:sz w:val="32"/>
          <w:szCs w:val="32"/>
        </w:rPr>
        <w:t xml:space="preserve"> 内蒙古银行提供多种积分兑换渠道，供持卡人进行兑换相关礼品或者服务，最新的兑换渠道以及兑换方法以内蒙古银行宣传公示为准。</w:t>
      </w:r>
    </w:p>
    <w:p w14:paraId="6540162F">
      <w:pPr>
        <w:spacing w:line="56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第十六条</w:t>
      </w:r>
      <w:r>
        <w:rPr>
          <w:rFonts w:hint="eastAsia" w:ascii="仿宋_GB2312" w:hAnsi="仿宋" w:eastAsia="仿宋_GB2312" w:cs="仿宋"/>
          <w:color w:val="000000"/>
          <w:sz w:val="32"/>
          <w:szCs w:val="32"/>
        </w:rPr>
        <w:t xml:space="preserve"> 兑换限制情况</w:t>
      </w:r>
    </w:p>
    <w:p w14:paraId="628A0584">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1.持卡人兑换积分，单笔订单达到100万积分，需进行订单审核；</w:t>
      </w:r>
    </w:p>
    <w:p w14:paraId="353082C2">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2.持卡人在积分商城等兑换渠道换取商品和礼券，兑换数量进行了相应的限制。部分礼品数量有限，兑完为止。</w:t>
      </w:r>
    </w:p>
    <w:p w14:paraId="72945E5B">
      <w:pPr>
        <w:spacing w:line="56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第十七条</w:t>
      </w:r>
      <w:r>
        <w:rPr>
          <w:rFonts w:hint="eastAsia" w:ascii="仿宋_GB2312" w:hAnsi="仿宋" w:eastAsia="仿宋_GB2312" w:cs="仿宋"/>
          <w:color w:val="000000"/>
          <w:sz w:val="32"/>
          <w:szCs w:val="32"/>
        </w:rPr>
        <w:t xml:space="preserve"> 积分兑换方式</w:t>
      </w:r>
    </w:p>
    <w:p w14:paraId="2A716E27">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信用卡积分兑换方式有“全积分”和“积分+现金”两种模式进行兑换。</w:t>
      </w:r>
    </w:p>
    <w:p w14:paraId="723CDEDF">
      <w:pPr>
        <w:spacing w:line="56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第十八条</w:t>
      </w:r>
      <w:r>
        <w:rPr>
          <w:rFonts w:hint="eastAsia" w:ascii="仿宋_GB2312" w:hAnsi="仿宋" w:eastAsia="仿宋_GB2312" w:cs="仿宋"/>
          <w:color w:val="000000"/>
          <w:sz w:val="32"/>
          <w:szCs w:val="32"/>
        </w:rPr>
        <w:t xml:space="preserve"> 内蒙古银行依据持卡人积分兑换申请，对持卡人积分进行扣减，优先扣减持卡人积分账户内先行到期的积分，扣减成功后订单生成，该持卡人积分兑换成功。积分兑换一经申请兑换成功后，持卡人不可取消或更改。如果因礼品提供商无法提供商品，而订单被取消，积分会退回持卡人积分账户中。</w:t>
      </w:r>
    </w:p>
    <w:p w14:paraId="03B92AD8">
      <w:pPr>
        <w:spacing w:line="560" w:lineRule="exact"/>
        <w:ind w:firstLine="630" w:firstLineChars="196"/>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第十九条</w:t>
      </w:r>
      <w:r>
        <w:rPr>
          <w:rFonts w:hint="eastAsia" w:ascii="仿宋_GB2312" w:hAnsi="仿宋" w:eastAsia="仿宋_GB2312" w:cs="仿宋"/>
          <w:color w:val="000000"/>
          <w:sz w:val="32"/>
          <w:szCs w:val="32"/>
        </w:rPr>
        <w:t xml:space="preserve"> 持卡人信用卡积分有效期或礼品兑换期限过后，不再提供兑换服务。</w:t>
      </w:r>
    </w:p>
    <w:p w14:paraId="7E3A81E5">
      <w:pPr>
        <w:spacing w:line="560" w:lineRule="exact"/>
        <w:ind w:left="1135"/>
        <w:jc w:val="center"/>
        <w:rPr>
          <w:rFonts w:hint="eastAsia" w:ascii="黑体" w:hAnsi="仿宋" w:eastAsia="黑体" w:cs="仿宋"/>
          <w:color w:val="000000"/>
          <w:sz w:val="32"/>
          <w:szCs w:val="32"/>
        </w:rPr>
      </w:pPr>
    </w:p>
    <w:p w14:paraId="5A7BCB33">
      <w:pPr>
        <w:spacing w:line="560" w:lineRule="exact"/>
        <w:ind w:left="1135"/>
        <w:jc w:val="center"/>
        <w:rPr>
          <w:rFonts w:hint="eastAsia" w:ascii="黑体" w:hAnsi="仿宋" w:eastAsia="黑体" w:cs="仿宋"/>
          <w:color w:val="000000"/>
          <w:sz w:val="32"/>
          <w:szCs w:val="32"/>
        </w:rPr>
      </w:pPr>
      <w:r>
        <w:rPr>
          <w:rFonts w:hint="eastAsia" w:ascii="黑体" w:hAnsi="仿宋" w:eastAsia="黑体" w:cs="仿宋"/>
          <w:color w:val="000000"/>
          <w:sz w:val="32"/>
          <w:szCs w:val="32"/>
        </w:rPr>
        <w:t>第五章  积分兑换礼品及服务的管理</w:t>
      </w:r>
    </w:p>
    <w:p w14:paraId="57D38A2E">
      <w:pPr>
        <w:spacing w:line="560" w:lineRule="exact"/>
        <w:ind w:left="1135"/>
        <w:jc w:val="center"/>
        <w:rPr>
          <w:rFonts w:ascii="黑体" w:hAnsi="仿宋" w:eastAsia="黑体" w:cs="仿宋"/>
          <w:color w:val="000000"/>
          <w:sz w:val="32"/>
          <w:szCs w:val="32"/>
        </w:rPr>
      </w:pPr>
    </w:p>
    <w:p w14:paraId="42BA87D0">
      <w:pPr>
        <w:spacing w:line="560" w:lineRule="exact"/>
        <w:ind w:left="284" w:firstLine="321" w:firstLineChars="100"/>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第二十条</w:t>
      </w:r>
      <w:r>
        <w:rPr>
          <w:rFonts w:hint="eastAsia" w:ascii="仿宋_GB2312" w:hAnsi="仿宋" w:eastAsia="仿宋_GB2312" w:cs="仿宋"/>
          <w:color w:val="000000"/>
          <w:sz w:val="32"/>
          <w:szCs w:val="32"/>
        </w:rPr>
        <w:t xml:space="preserve"> 内蒙古银行与积分礼品供应商之间并无合伙、经销、代理、共同出卖人、保证人关系；内蒙古银行仅负责代持卡人向供应递交相关礼品信息，并为持卡人支付礼品对价。</w:t>
      </w:r>
    </w:p>
    <w:p w14:paraId="12D12159">
      <w:pPr>
        <w:spacing w:line="56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第二十一条</w:t>
      </w:r>
      <w:r>
        <w:rPr>
          <w:rFonts w:hint="eastAsia" w:ascii="仿宋_GB2312" w:hAnsi="仿宋" w:eastAsia="仿宋_GB2312" w:cs="仿宋"/>
          <w:color w:val="000000"/>
          <w:sz w:val="32"/>
          <w:szCs w:val="32"/>
        </w:rPr>
        <w:t xml:space="preserve"> 持卡人所兑换礼品由各供应商提供，其质量、数量、款式、颜色、售后服务等问题均由供应商负责。如持卡人对供应商提供的礼品及售后服务有争议时，内蒙古银行仅负责协助持卡人与供应商取得联系并保证由其选择或指定的供应商具有法律、法规规定的相应资质。</w:t>
      </w:r>
    </w:p>
    <w:p w14:paraId="0470EBCE">
      <w:pPr>
        <w:spacing w:line="56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第二十二条</w:t>
      </w:r>
      <w:r>
        <w:rPr>
          <w:rFonts w:hint="eastAsia" w:ascii="仿宋_GB2312" w:hAnsi="仿宋" w:eastAsia="仿宋_GB2312" w:cs="仿宋"/>
          <w:color w:val="000000"/>
          <w:sz w:val="32"/>
          <w:szCs w:val="32"/>
        </w:rPr>
        <w:t xml:space="preserve"> 持卡人提出兑换申请即视为同意内蒙古银行将持卡人姓名、联系电话、对账单地址等配送信息提交礼品供应商及配送单位并接受礼品配送服务。持卡人在申请兑换礼品后，变更收件地址的，需自行与物流服务供应商协商并支付相关费用，因持卡人变更收件地址而导致争议，由持卡人与物流公司协商处理，我行不承担责任。</w:t>
      </w:r>
    </w:p>
    <w:p w14:paraId="0BB90A81">
      <w:pPr>
        <w:spacing w:line="56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第二十三条</w:t>
      </w:r>
      <w:r>
        <w:rPr>
          <w:rFonts w:hint="eastAsia" w:ascii="仿宋_GB2312" w:hAnsi="仿宋" w:eastAsia="仿宋_GB2312" w:cs="仿宋"/>
          <w:color w:val="000000"/>
          <w:sz w:val="32"/>
          <w:szCs w:val="32"/>
        </w:rPr>
        <w:t xml:space="preserve"> 我行网站或宣传品中的积分礼品图片仅供参考，以实物为准，具体礼品颜色、花色等按商品描述为准。</w:t>
      </w:r>
    </w:p>
    <w:p w14:paraId="371DBB62">
      <w:pPr>
        <w:spacing w:line="56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第二十四条</w:t>
      </w:r>
      <w:r>
        <w:rPr>
          <w:rFonts w:hint="eastAsia" w:ascii="仿宋_GB2312" w:hAnsi="仿宋" w:eastAsia="仿宋_GB2312" w:cs="仿宋"/>
          <w:color w:val="000000"/>
          <w:sz w:val="32"/>
          <w:szCs w:val="32"/>
        </w:rPr>
        <w:t xml:space="preserve"> 积分礼品兑换属回馈活动，不提供发票。持卡人需自行承担使用积分兑换的礼品及服务所附带的纳税义务。若非质量问题，所有积分礼品均不可退货、换货、退款、退积分或兑换现金。如所兑换的积分礼品在运送过程中毁损或积分礼品本身有质量问题时，持卡人须在签收日起的 7天内致电礼品包装上注明的礼品供应商销售热线提出换货申请，超过7天将不予受理。退回时，请务必保留原包装、内附说明书、附件及相关凭证。如持卡人在使用过程中发现礼品质量问题，可致电礼品供应商申请维修。</w:t>
      </w:r>
    </w:p>
    <w:p w14:paraId="5332E644">
      <w:pPr>
        <w:spacing w:line="560" w:lineRule="exact"/>
        <w:ind w:firstLine="630" w:firstLineChars="196"/>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第二十五条</w:t>
      </w:r>
      <w:r>
        <w:rPr>
          <w:rFonts w:hint="eastAsia" w:ascii="仿宋_GB2312" w:hAnsi="仿宋" w:eastAsia="仿宋_GB2312" w:cs="仿宋"/>
          <w:color w:val="000000"/>
          <w:sz w:val="32"/>
          <w:szCs w:val="32"/>
        </w:rPr>
        <w:t xml:space="preserve"> 通过积分兑换的电子券等均有使用期限及适用范围等使用规定，持卡人须按其规定使用，违反规定或超过使用期限致使无法使用的不得退换。</w:t>
      </w:r>
    </w:p>
    <w:p w14:paraId="1F8014BE">
      <w:pPr>
        <w:spacing w:line="560" w:lineRule="exact"/>
        <w:ind w:firstLine="630" w:firstLineChars="196"/>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第二十六条</w:t>
      </w:r>
      <w:r>
        <w:rPr>
          <w:rFonts w:hint="eastAsia" w:ascii="仿宋_GB2312" w:hAnsi="仿宋" w:eastAsia="仿宋_GB2312" w:cs="仿宋"/>
          <w:color w:val="000000"/>
          <w:sz w:val="32"/>
          <w:szCs w:val="32"/>
        </w:rPr>
        <w:t xml:space="preserve"> 持卡人应在兑换申请前核实对账单地址、邮编、手机号码，确保相关信息的正确及完整。对因持卡人预留信息不详、错误，或发生变更但未及时通知内蒙古银行，或无人收货等原因造成的延迟送达、未能送达，均由持卡人自行负责。</w:t>
      </w:r>
    </w:p>
    <w:p w14:paraId="721F4335">
      <w:pPr>
        <w:spacing w:line="56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第二十七条</w:t>
      </w:r>
      <w:r>
        <w:rPr>
          <w:rFonts w:hint="eastAsia" w:ascii="仿宋_GB2312" w:hAnsi="仿宋" w:eastAsia="仿宋_GB2312" w:cs="仿宋"/>
          <w:color w:val="000000"/>
          <w:sz w:val="32"/>
          <w:szCs w:val="32"/>
        </w:rPr>
        <w:t xml:space="preserve"> 积分礼品的配送方式如下：</w:t>
      </w:r>
    </w:p>
    <w:p w14:paraId="11261AD2">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1.送货上门：通常在持卡人提出兑换申请后的20天内（元旦、春节、五一、十一等国定假日及偏远地区、灾害天气等特殊情况除外）。</w:t>
      </w:r>
    </w:p>
    <w:p w14:paraId="3969225E">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2.邮寄包裹：无法提供送货上门服务的偏远地区以及相关管制地区将通过普通邮寄包裹的方式配送。</w:t>
      </w:r>
    </w:p>
    <w:p w14:paraId="44B04394">
      <w:pPr>
        <w:spacing w:line="56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第二十八条</w:t>
      </w:r>
      <w:r>
        <w:rPr>
          <w:rFonts w:hint="eastAsia" w:ascii="仿宋_GB2312" w:hAnsi="仿宋" w:eastAsia="仿宋_GB2312" w:cs="仿宋"/>
          <w:color w:val="000000"/>
          <w:sz w:val="32"/>
          <w:szCs w:val="32"/>
        </w:rPr>
        <w:t xml:space="preserve"> 持卡人或代签收人在签收礼品时应当场检查礼品的完好性，若存在质量问题或缺损可拒绝签收；持卡人或代签收人一旦签收即代表已收到礼品且礼品表面完好。</w:t>
      </w:r>
    </w:p>
    <w:p w14:paraId="76B52847">
      <w:pPr>
        <w:spacing w:line="560" w:lineRule="exact"/>
        <w:ind w:left="568"/>
        <w:jc w:val="center"/>
        <w:rPr>
          <w:rFonts w:hint="eastAsia" w:ascii="黑体" w:hAnsi="仿宋" w:eastAsia="黑体" w:cs="仿宋"/>
          <w:color w:val="000000"/>
          <w:sz w:val="32"/>
          <w:szCs w:val="32"/>
        </w:rPr>
      </w:pPr>
    </w:p>
    <w:p w14:paraId="0668CBE1">
      <w:pPr>
        <w:spacing w:line="560" w:lineRule="exact"/>
        <w:ind w:left="568"/>
        <w:jc w:val="center"/>
        <w:rPr>
          <w:rFonts w:hint="eastAsia" w:ascii="黑体" w:hAnsi="仿宋" w:eastAsia="黑体" w:cs="仿宋"/>
          <w:color w:val="000000"/>
          <w:sz w:val="32"/>
          <w:szCs w:val="32"/>
        </w:rPr>
      </w:pPr>
      <w:r>
        <w:rPr>
          <w:rFonts w:hint="eastAsia" w:ascii="黑体" w:hAnsi="仿宋" w:eastAsia="黑体" w:cs="仿宋"/>
          <w:color w:val="000000"/>
          <w:sz w:val="32"/>
          <w:szCs w:val="32"/>
        </w:rPr>
        <w:t>第六章 消费者权益保护管理</w:t>
      </w:r>
    </w:p>
    <w:p w14:paraId="0FA31EAF">
      <w:pPr>
        <w:spacing w:line="560" w:lineRule="exact"/>
        <w:ind w:left="568"/>
        <w:jc w:val="center"/>
        <w:rPr>
          <w:rFonts w:ascii="黑体" w:hAnsi="仿宋" w:eastAsia="黑体" w:cs="仿宋"/>
          <w:color w:val="000000"/>
          <w:sz w:val="32"/>
          <w:szCs w:val="32"/>
        </w:rPr>
      </w:pPr>
    </w:p>
    <w:p w14:paraId="0AEF7AC2">
      <w:pPr>
        <w:snapToGrid w:val="0"/>
        <w:spacing w:line="560" w:lineRule="exact"/>
        <w:ind w:firstLine="630" w:firstLineChars="196"/>
        <w:textAlignment w:val="baseline"/>
        <w:rPr>
          <w:rFonts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 xml:space="preserve">第二十九条 </w:t>
      </w:r>
      <w:r>
        <w:rPr>
          <w:rFonts w:hint="eastAsia" w:ascii="仿宋_GB2312" w:hAnsi="宋体" w:eastAsia="仿宋_GB2312" w:cs="宋体"/>
          <w:color w:val="000000"/>
          <w:kern w:val="0"/>
          <w:sz w:val="32"/>
          <w:szCs w:val="32"/>
        </w:rPr>
        <w:t>相关部门、分支行办理业务时，应严格按照《内蒙古银行金融消费者信息安全管理办法》相关规定执行，确保消费者信息安全。</w:t>
      </w:r>
    </w:p>
    <w:p w14:paraId="5661D47A">
      <w:pPr>
        <w:snapToGrid w:val="0"/>
        <w:spacing w:line="560" w:lineRule="exact"/>
        <w:ind w:firstLine="643" w:firstLineChars="200"/>
        <w:textAlignment w:val="baseline"/>
        <w:rPr>
          <w:rFonts w:ascii="仿宋_GB2312" w:hAnsi="宋体" w:eastAsia="仿宋_GB2312" w:cs="宋体"/>
          <w:color w:val="000000"/>
          <w:kern w:val="0"/>
          <w:sz w:val="32"/>
          <w:szCs w:val="32"/>
        </w:rPr>
      </w:pPr>
      <w:r>
        <w:rPr>
          <w:rFonts w:hint="eastAsia" w:ascii="仿宋_GB2312" w:hAnsi="仿宋" w:eastAsia="仿宋_GB2312" w:cs="仿宋"/>
          <w:b/>
          <w:color w:val="000000"/>
          <w:sz w:val="32"/>
          <w:szCs w:val="32"/>
        </w:rPr>
        <w:t xml:space="preserve">第三十条 </w:t>
      </w:r>
      <w:r>
        <w:rPr>
          <w:rFonts w:hint="eastAsia" w:ascii="仿宋_GB2312" w:hAnsi="宋体" w:eastAsia="仿宋_GB2312" w:cs="宋体"/>
          <w:color w:val="000000"/>
          <w:kern w:val="0"/>
          <w:sz w:val="32"/>
          <w:szCs w:val="32"/>
        </w:rPr>
        <w:t>相关部门、分支行办理本业务时，如遇消费者投诉，应按《内蒙古银行消费者投诉管理办法》相关规定办理。</w:t>
      </w:r>
    </w:p>
    <w:p w14:paraId="63A51FB6">
      <w:pPr>
        <w:snapToGrid w:val="0"/>
        <w:spacing w:line="560" w:lineRule="exact"/>
        <w:ind w:firstLine="643" w:firstLineChars="200"/>
        <w:textAlignment w:val="baseline"/>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第三十一条</w:t>
      </w:r>
      <w:r>
        <w:rPr>
          <w:rFonts w:hint="eastAsia" w:ascii="仿宋_GB2312" w:hAnsi="宋体" w:eastAsia="仿宋_GB2312" w:cs="宋体"/>
          <w:color w:val="000000"/>
          <w:kern w:val="0"/>
          <w:sz w:val="32"/>
          <w:szCs w:val="32"/>
        </w:rPr>
        <w:t xml:space="preserve"> </w:t>
      </w:r>
      <w:r>
        <w:rPr>
          <w:rFonts w:ascii="仿宋_GB2312" w:hAnsi="宋体" w:eastAsia="仿宋_GB2312" w:cs="宋体"/>
          <w:color w:val="000000"/>
          <w:kern w:val="0"/>
          <w:sz w:val="32"/>
          <w:szCs w:val="32"/>
        </w:rPr>
        <w:t>相关部门、分支行办理本业务时，如遇客户重大投诉、突发群体性事件或重大负面报道时，按《内蒙古银行消费者权益保护突发事件应急预案》、《内蒙古银行突发事件应急管理办法》相关业务的应急处理措施进行处理。</w:t>
      </w:r>
    </w:p>
    <w:p w14:paraId="39403C02">
      <w:pPr>
        <w:spacing w:line="560" w:lineRule="exact"/>
        <w:ind w:firstLine="640" w:firstLineChars="200"/>
        <w:jc w:val="center"/>
        <w:rPr>
          <w:rFonts w:hint="eastAsia" w:ascii="黑体" w:hAnsi="仿宋" w:eastAsia="黑体" w:cs="仿宋"/>
          <w:color w:val="000000"/>
          <w:sz w:val="32"/>
          <w:szCs w:val="32"/>
        </w:rPr>
      </w:pPr>
    </w:p>
    <w:p w14:paraId="58420A94">
      <w:pPr>
        <w:spacing w:line="560" w:lineRule="exact"/>
        <w:ind w:firstLine="640" w:firstLineChars="200"/>
        <w:jc w:val="center"/>
        <w:rPr>
          <w:rFonts w:hint="eastAsia" w:ascii="黑体" w:hAnsi="仿宋" w:eastAsia="黑体" w:cs="仿宋"/>
          <w:color w:val="000000"/>
          <w:sz w:val="32"/>
          <w:szCs w:val="32"/>
        </w:rPr>
      </w:pPr>
      <w:r>
        <w:rPr>
          <w:rFonts w:hint="eastAsia" w:ascii="黑体" w:hAnsi="仿宋" w:eastAsia="黑体" w:cs="仿宋"/>
          <w:color w:val="000000"/>
          <w:sz w:val="32"/>
          <w:szCs w:val="32"/>
        </w:rPr>
        <w:t>第七章 其他规定</w:t>
      </w:r>
    </w:p>
    <w:p w14:paraId="6609C5A4">
      <w:pPr>
        <w:spacing w:line="560" w:lineRule="exact"/>
        <w:ind w:firstLine="640" w:firstLineChars="200"/>
        <w:jc w:val="center"/>
        <w:rPr>
          <w:rFonts w:ascii="黑体" w:hAnsi="仿宋" w:eastAsia="黑体" w:cs="仿宋"/>
          <w:color w:val="000000"/>
          <w:sz w:val="32"/>
          <w:szCs w:val="32"/>
        </w:rPr>
      </w:pPr>
    </w:p>
    <w:p w14:paraId="422F687D">
      <w:pPr>
        <w:spacing w:line="56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第三十二条</w:t>
      </w:r>
      <w:r>
        <w:rPr>
          <w:rFonts w:hint="eastAsia" w:ascii="仿宋_GB2312" w:hAnsi="仿宋" w:eastAsia="仿宋_GB2312" w:cs="仿宋"/>
          <w:color w:val="000000"/>
          <w:sz w:val="32"/>
          <w:szCs w:val="32"/>
        </w:rPr>
        <w:t xml:space="preserve"> 内蒙古银行有权根据市场及业务情况调整积分折算比例，并享有法律范围内的最终解释权。</w:t>
      </w:r>
    </w:p>
    <w:p w14:paraId="44C8F126">
      <w:pPr>
        <w:spacing w:line="56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第三十三条</w:t>
      </w:r>
      <w:r>
        <w:rPr>
          <w:rFonts w:hint="eastAsia" w:ascii="仿宋_GB2312" w:hAnsi="仿宋" w:eastAsia="仿宋_GB2312" w:cs="仿宋"/>
          <w:color w:val="000000"/>
          <w:sz w:val="32"/>
          <w:szCs w:val="32"/>
        </w:rPr>
        <w:t xml:space="preserve"> 内蒙古银行有权取消或修改相关积分计算、累计、兑换和参加资格等规则，并按监管规定经相关途径(如内蒙古银行网站、公众号)公告一定时期后生效。公告期内如持卡人对公告内容有疑问，可致电内蒙古银行客户服务热线进行咨询。</w:t>
      </w:r>
    </w:p>
    <w:p w14:paraId="17FCB9CC">
      <w:pPr>
        <w:spacing w:line="56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第三十四条</w:t>
      </w:r>
      <w:r>
        <w:rPr>
          <w:rFonts w:hint="eastAsia" w:ascii="仿宋_GB2312" w:hAnsi="仿宋" w:eastAsia="仿宋_GB2312" w:cs="仿宋"/>
          <w:color w:val="000000"/>
          <w:sz w:val="32"/>
          <w:szCs w:val="32"/>
        </w:rPr>
        <w:t xml:space="preserve"> 持卡人有权在内蒙古银行公告期间选择是否继续使用信用卡及相关服务，如果持卡人不愿接受内蒙古银行公告内容的，应在内蒙古银行公告施行前向我行申请变更或终止相关服务；如果持卡人未申请变更或终止相关服务，视为持卡人同意相关调整，变更后的内容对持卡人产生法律约束力，若持卡人不执行变更后的内容，内蒙古银行有权选择终止服务。</w:t>
      </w:r>
    </w:p>
    <w:p w14:paraId="20DC9A83">
      <w:pPr>
        <w:spacing w:line="560" w:lineRule="exact"/>
        <w:ind w:firstLine="320" w:firstLineChars="100"/>
        <w:rPr>
          <w:rFonts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w:t>
      </w:r>
      <w:r>
        <w:rPr>
          <w:rFonts w:hint="eastAsia" w:ascii="仿宋_GB2312" w:hAnsi="仿宋" w:eastAsia="仿宋_GB2312" w:cs="仿宋"/>
          <w:b/>
          <w:color w:val="000000"/>
          <w:sz w:val="32"/>
          <w:szCs w:val="32"/>
        </w:rPr>
        <w:t>第三十五条</w:t>
      </w:r>
      <w:r>
        <w:rPr>
          <w:rFonts w:hint="eastAsia" w:ascii="仿宋_GB2312" w:hAnsi="仿宋" w:eastAsia="仿宋_GB2312" w:cs="仿宋"/>
          <w:color w:val="000000"/>
          <w:sz w:val="32"/>
          <w:szCs w:val="32"/>
        </w:rPr>
        <w:t xml:space="preserve"> 本实施细则由总行零售银行部负责制定、解释和修订。</w:t>
      </w:r>
    </w:p>
    <w:p w14:paraId="697F8E3A">
      <w:pPr>
        <w:spacing w:line="560" w:lineRule="exact"/>
        <w:ind w:firstLine="482" w:firstLineChars="150"/>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第三十六条</w:t>
      </w:r>
      <w:r>
        <w:rPr>
          <w:rFonts w:hint="eastAsia" w:ascii="仿宋_GB2312" w:hAnsi="仿宋" w:eastAsia="仿宋_GB2312" w:cs="仿宋"/>
          <w:color w:val="000000"/>
          <w:sz w:val="32"/>
          <w:szCs w:val="32"/>
        </w:rPr>
        <w:t xml:space="preserve"> </w:t>
      </w:r>
      <w:r>
        <w:rPr>
          <w:rFonts w:ascii="仿宋_GB2312" w:hAnsi="仿宋" w:eastAsia="仿宋_GB2312" w:cs="仿宋"/>
          <w:color w:val="000000"/>
          <w:sz w:val="32"/>
          <w:szCs w:val="32"/>
        </w:rPr>
        <w:t>本</w:t>
      </w:r>
      <w:r>
        <w:rPr>
          <w:rFonts w:hint="eastAsia" w:ascii="仿宋_GB2312" w:hAnsi="仿宋" w:eastAsia="仿宋_GB2312" w:cs="仿宋"/>
          <w:color w:val="000000"/>
          <w:sz w:val="32"/>
          <w:szCs w:val="32"/>
        </w:rPr>
        <w:t>实施细则</w:t>
      </w:r>
      <w:r>
        <w:rPr>
          <w:rFonts w:ascii="仿宋_GB2312" w:hAnsi="仿宋" w:eastAsia="仿宋_GB2312" w:cs="仿宋"/>
          <w:color w:val="000000"/>
          <w:sz w:val="32"/>
          <w:szCs w:val="32"/>
        </w:rPr>
        <w:t>自印发之日起执行，原《内蒙古银行</w:t>
      </w:r>
      <w:r>
        <w:rPr>
          <w:rFonts w:hint="eastAsia" w:ascii="仿宋_GB2312" w:hAnsi="仿宋" w:eastAsia="仿宋_GB2312" w:cs="仿宋"/>
          <w:color w:val="000000"/>
          <w:sz w:val="32"/>
          <w:szCs w:val="32"/>
        </w:rPr>
        <w:t>信用卡积分</w:t>
      </w:r>
      <w:r>
        <w:rPr>
          <w:rFonts w:ascii="仿宋_GB2312" w:hAnsi="仿宋" w:eastAsia="仿宋_GB2312" w:cs="仿宋"/>
          <w:color w:val="000000"/>
          <w:sz w:val="32"/>
          <w:szCs w:val="32"/>
        </w:rPr>
        <w:t>管理办法》(内银发［</w:t>
      </w:r>
      <w:r>
        <w:rPr>
          <w:rFonts w:hint="eastAsia" w:ascii="仿宋_GB2312" w:hAnsi="仿宋" w:eastAsia="仿宋_GB2312" w:cs="仿宋"/>
          <w:color w:val="000000"/>
          <w:sz w:val="32"/>
          <w:szCs w:val="32"/>
        </w:rPr>
        <w:t>2020</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rPr>
        <w:t>741</w:t>
      </w:r>
      <w:r>
        <w:rPr>
          <w:rFonts w:ascii="仿宋_GB2312" w:hAnsi="仿宋" w:eastAsia="仿宋_GB2312" w:cs="仿宋"/>
          <w:color w:val="000000"/>
          <w:sz w:val="32"/>
          <w:szCs w:val="32"/>
        </w:rPr>
        <w:t>号)同时废止。</w:t>
      </w:r>
    </w:p>
    <w:p w14:paraId="1098E736">
      <w:pPr>
        <w:spacing w:line="580" w:lineRule="exact"/>
        <w:ind w:firstLine="480" w:firstLineChars="150"/>
        <w:rPr>
          <w:rFonts w:ascii="仿宋_GB2312" w:hAnsi="仿宋" w:eastAsia="仿宋_GB2312" w:cs="仿宋"/>
          <w:color w:val="000000"/>
          <w:sz w:val="32"/>
          <w:szCs w:val="32"/>
        </w:rPr>
      </w:pPr>
    </w:p>
    <w:p w14:paraId="3E574B97">
      <w:pPr>
        <w:spacing w:line="580" w:lineRule="exact"/>
        <w:ind w:firstLine="4320" w:firstLineChars="1350"/>
        <w:rPr>
          <w:rFonts w:ascii="仿宋_GB2312" w:hAnsi="仿宋" w:eastAsia="仿宋_GB2312" w:cs="仿宋"/>
          <w:color w:val="000000"/>
          <w:sz w:val="32"/>
          <w:szCs w:val="32"/>
        </w:rPr>
      </w:pPr>
    </w:p>
    <w:p w14:paraId="75AB477E">
      <w:pPr>
        <w:spacing w:line="580" w:lineRule="exact"/>
        <w:ind w:firstLine="4320" w:firstLineChars="1350"/>
        <w:rPr>
          <w:rFonts w:ascii="仿宋_GB2312" w:hAnsi="仿宋" w:eastAsia="仿宋_GB2312" w:cs="仿宋"/>
          <w:color w:val="000000"/>
          <w:sz w:val="32"/>
          <w:szCs w:val="32"/>
        </w:rPr>
      </w:pPr>
    </w:p>
    <w:p w14:paraId="6570F79F">
      <w:pPr>
        <w:spacing w:line="580" w:lineRule="exact"/>
        <w:ind w:firstLine="4320" w:firstLineChars="1350"/>
        <w:rPr>
          <w:rFonts w:ascii="仿宋_GB2312" w:hAnsi="仿宋" w:eastAsia="仿宋_GB2312" w:cs="仿宋"/>
          <w:color w:val="000000"/>
          <w:sz w:val="32"/>
          <w:szCs w:val="32"/>
        </w:rPr>
      </w:pPr>
    </w:p>
    <w:p w14:paraId="091AB097">
      <w:pPr>
        <w:spacing w:line="580" w:lineRule="exact"/>
        <w:ind w:firstLine="4320" w:firstLineChars="1350"/>
        <w:rPr>
          <w:rFonts w:ascii="仿宋_GB2312" w:hAnsi="仿宋" w:eastAsia="仿宋_GB2312" w:cs="仿宋"/>
          <w:color w:val="000000"/>
          <w:sz w:val="32"/>
          <w:szCs w:val="32"/>
        </w:rPr>
      </w:pPr>
    </w:p>
    <w:p w14:paraId="1DB7F7C6">
      <w:pPr>
        <w:spacing w:line="580" w:lineRule="exact"/>
        <w:ind w:firstLine="4320" w:firstLineChars="1350"/>
        <w:rPr>
          <w:rFonts w:ascii="仿宋_GB2312" w:hAnsi="仿宋" w:eastAsia="仿宋_GB2312" w:cs="仿宋"/>
          <w:color w:val="000000"/>
          <w:sz w:val="32"/>
          <w:szCs w:val="32"/>
        </w:rPr>
      </w:pPr>
    </w:p>
    <w:p w14:paraId="4F804D6B">
      <w:pPr>
        <w:spacing w:line="580" w:lineRule="exact"/>
        <w:ind w:firstLine="4320" w:firstLineChars="1350"/>
        <w:rPr>
          <w:rFonts w:ascii="仿宋_GB2312" w:hAnsi="仿宋" w:eastAsia="仿宋_GB2312" w:cs="仿宋"/>
          <w:color w:val="000000"/>
          <w:sz w:val="32"/>
          <w:szCs w:val="32"/>
        </w:rPr>
      </w:pPr>
    </w:p>
    <w:p w14:paraId="7308C70A">
      <w:pPr>
        <w:spacing w:line="580" w:lineRule="exact"/>
        <w:ind w:firstLine="4320" w:firstLineChars="1350"/>
        <w:rPr>
          <w:rFonts w:ascii="仿宋_GB2312" w:hAnsi="仿宋" w:eastAsia="仿宋_GB2312" w:cs="仿宋"/>
          <w:color w:val="000000"/>
          <w:sz w:val="32"/>
          <w:szCs w:val="32"/>
        </w:rPr>
      </w:pPr>
    </w:p>
    <w:p w14:paraId="576D30A3">
      <w:pPr>
        <w:pStyle w:val="5"/>
        <w:spacing w:line="560" w:lineRule="exact"/>
        <w:rPr>
          <w:rFonts w:ascii="仿宋_GB2312" w:hAnsi="宋体" w:eastAsia="仿宋_GB2312" w:cs="仿宋"/>
          <w:sz w:val="32"/>
          <w:szCs w:val="32"/>
        </w:rPr>
      </w:pPr>
    </w:p>
    <w:p w14:paraId="62F139FD">
      <w:pPr>
        <w:pStyle w:val="5"/>
        <w:spacing w:line="560" w:lineRule="exact"/>
        <w:rPr>
          <w:rFonts w:ascii="仿宋_GB2312" w:hAnsi="宋体" w:eastAsia="仿宋_GB2312" w:cs="仿宋"/>
          <w:sz w:val="32"/>
          <w:szCs w:val="32"/>
        </w:rPr>
      </w:pPr>
    </w:p>
    <w:p w14:paraId="285DAF0F">
      <w:pPr>
        <w:pStyle w:val="5"/>
        <w:spacing w:line="560" w:lineRule="exact"/>
        <w:rPr>
          <w:rFonts w:hint="eastAsia" w:ascii="仿宋_GB2312" w:hAnsi="宋体" w:eastAsia="仿宋_GB2312" w:cs="仿宋"/>
          <w:sz w:val="32"/>
          <w:szCs w:val="32"/>
        </w:rPr>
      </w:pPr>
    </w:p>
    <w:p w14:paraId="4A52AE9C">
      <w:pPr>
        <w:pStyle w:val="5"/>
        <w:spacing w:line="560" w:lineRule="exact"/>
        <w:rPr>
          <w:rFonts w:hint="eastAsia" w:ascii="仿宋_GB2312" w:hAnsi="宋体" w:eastAsia="仿宋_GB2312" w:cs="仿宋"/>
          <w:sz w:val="32"/>
          <w:szCs w:val="32"/>
        </w:rPr>
      </w:pPr>
      <w:bookmarkStart w:id="1" w:name="_GoBack"/>
      <w:bookmarkEnd w:id="1"/>
    </w:p>
    <w:p w14:paraId="52EF8235">
      <w:pPr>
        <w:pStyle w:val="5"/>
        <w:spacing w:line="560" w:lineRule="exact"/>
        <w:rPr>
          <w:rFonts w:hint="eastAsia" w:ascii="仿宋_GB2312" w:hAnsi="宋体" w:eastAsia="仿宋_GB2312" w:cs="仿宋"/>
          <w:sz w:val="32"/>
          <w:szCs w:val="32"/>
        </w:rPr>
      </w:pPr>
    </w:p>
    <w:p w14:paraId="54C44DCB">
      <w:pPr>
        <w:pStyle w:val="5"/>
        <w:spacing w:line="560" w:lineRule="exact"/>
        <w:rPr>
          <w:rFonts w:hint="eastAsia" w:ascii="仿宋_GB2312" w:hAnsi="宋体" w:eastAsia="仿宋_GB2312" w:cs="仿宋"/>
          <w:sz w:val="32"/>
          <w:szCs w:val="32"/>
        </w:rPr>
      </w:pPr>
    </w:p>
    <w:p w14:paraId="229B5748">
      <w:pPr>
        <w:pStyle w:val="5"/>
        <w:spacing w:line="560" w:lineRule="exact"/>
        <w:rPr>
          <w:rFonts w:hint="eastAsia" w:ascii="仿宋_GB2312" w:hAnsi="宋体" w:eastAsia="仿宋_GB2312" w:cs="仿宋"/>
          <w:sz w:val="32"/>
          <w:szCs w:val="32"/>
        </w:rPr>
      </w:pPr>
    </w:p>
    <w:p w14:paraId="70488C25">
      <w:pPr>
        <w:pStyle w:val="5"/>
        <w:spacing w:line="560" w:lineRule="exact"/>
        <w:rPr>
          <w:rFonts w:ascii="仿宋_GB2312" w:hAnsi="宋体" w:eastAsia="仿宋_GB2312" w:cs="仿宋"/>
          <w:sz w:val="32"/>
          <w:szCs w:val="32"/>
        </w:rPr>
      </w:pPr>
    </w:p>
    <w:p w14:paraId="52FF4442">
      <w:pPr>
        <w:spacing w:line="80" w:lineRule="exact"/>
        <w:rPr>
          <w:rFonts w:ascii="仿宋_GB2312" w:hAnsi="宋体" w:eastAsia="仿宋_GB2312"/>
          <w:b/>
          <w:sz w:val="15"/>
          <w:szCs w:val="15"/>
          <w:u w:val="single"/>
        </w:rPr>
      </w:pPr>
      <w:r>
        <w:rPr>
          <w:rFonts w:hint="eastAsia" w:ascii="仿宋_GB2312" w:hAnsi="宋体" w:eastAsia="仿宋_GB2312"/>
          <w:b/>
          <w:sz w:val="15"/>
          <w:szCs w:val="15"/>
          <w:u w:val="single"/>
        </w:rPr>
        <w:t xml:space="preserve">                                                                                                                                                                 </w:t>
      </w:r>
    </w:p>
    <w:p w14:paraId="22E6464F">
      <w:pPr>
        <w:spacing w:line="80" w:lineRule="exact"/>
        <w:rPr>
          <w:rFonts w:ascii="仿宋_GB2312" w:hAnsi="仿宋" w:eastAsia="仿宋_GB2312"/>
          <w:sz w:val="32"/>
          <w:szCs w:val="32"/>
        </w:rPr>
      </w:pPr>
      <w:r>
        <w:rPr>
          <w:rFonts w:hint="eastAsia" w:ascii="仿宋_GB2312" w:hAnsi="宋体" w:eastAsia="仿宋_GB2312"/>
          <w:b/>
          <w:sz w:val="15"/>
          <w:szCs w:val="15"/>
          <w:u w:val="single"/>
        </w:rPr>
        <w:t xml:space="preserve">              </w:t>
      </w:r>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5447835"/>
      <w:docPartObj>
        <w:docPartGallery w:val="autotext"/>
      </w:docPartObj>
    </w:sdtPr>
    <w:sdtEndPr>
      <w:rPr>
        <w:rFonts w:hint="eastAsia" w:ascii="仿宋_GB2312" w:eastAsia="仿宋_GB2312"/>
        <w:sz w:val="32"/>
        <w:szCs w:val="32"/>
      </w:rPr>
    </w:sdtEndPr>
    <w:sdtContent>
      <w:p w14:paraId="635F3516">
        <w:pPr>
          <w:pStyle w:val="7"/>
          <w:jc w:val="right"/>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9 -</w:t>
        </w:r>
        <w:r>
          <w:rPr>
            <w:rFonts w:hint="eastAsia" w:ascii="仿宋_GB2312" w:eastAsia="仿宋_GB2312"/>
            <w:sz w:val="32"/>
            <w:szCs w:val="32"/>
          </w:rPr>
          <w:fldChar w:fldCharType="end"/>
        </w:r>
      </w:p>
    </w:sdtContent>
  </w:sdt>
  <w:p w14:paraId="05320B3D">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9013026"/>
      <w:docPartObj>
        <w:docPartGallery w:val="autotext"/>
      </w:docPartObj>
    </w:sdtPr>
    <w:sdtEndPr>
      <w:rPr>
        <w:rFonts w:hint="eastAsia" w:ascii="仿宋_GB2312" w:eastAsia="仿宋_GB2312"/>
        <w:sz w:val="32"/>
        <w:szCs w:val="32"/>
      </w:rPr>
    </w:sdtEndPr>
    <w:sdtContent>
      <w:p w14:paraId="703B6C07">
        <w:pPr>
          <w:pStyle w:val="7"/>
          <w:ind w:right="360"/>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10 -</w:t>
        </w:r>
        <w:r>
          <w:rPr>
            <w:rFonts w:hint="eastAsia" w:ascii="仿宋_GB2312" w:eastAsia="仿宋_GB2312"/>
            <w:sz w:val="32"/>
            <w:szCs w:val="32"/>
          </w:rPr>
          <w:fldChar w:fldCharType="end"/>
        </w:r>
      </w:p>
    </w:sdtContent>
  </w:sdt>
  <w:p w14:paraId="0B13893E">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evenAndOddHeaders w:val="1"/>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2BF"/>
    <w:rsid w:val="000025CB"/>
    <w:rsid w:val="00002CCF"/>
    <w:rsid w:val="000037EC"/>
    <w:rsid w:val="0003020C"/>
    <w:rsid w:val="0003799A"/>
    <w:rsid w:val="00046E2A"/>
    <w:rsid w:val="000526B6"/>
    <w:rsid w:val="00056124"/>
    <w:rsid w:val="00067AB5"/>
    <w:rsid w:val="0007094D"/>
    <w:rsid w:val="00070CEE"/>
    <w:rsid w:val="00070F23"/>
    <w:rsid w:val="00083990"/>
    <w:rsid w:val="000852D2"/>
    <w:rsid w:val="000A18C9"/>
    <w:rsid w:val="000B2618"/>
    <w:rsid w:val="000B6C63"/>
    <w:rsid w:val="000C1296"/>
    <w:rsid w:val="000D1AA1"/>
    <w:rsid w:val="000E2A33"/>
    <w:rsid w:val="000E68B9"/>
    <w:rsid w:val="000F5899"/>
    <w:rsid w:val="00102138"/>
    <w:rsid w:val="001056B8"/>
    <w:rsid w:val="001061CD"/>
    <w:rsid w:val="00112526"/>
    <w:rsid w:val="001151C6"/>
    <w:rsid w:val="001254BC"/>
    <w:rsid w:val="001304DC"/>
    <w:rsid w:val="0013364C"/>
    <w:rsid w:val="00136017"/>
    <w:rsid w:val="00143556"/>
    <w:rsid w:val="001465D7"/>
    <w:rsid w:val="00147A2E"/>
    <w:rsid w:val="001531F5"/>
    <w:rsid w:val="00165FA8"/>
    <w:rsid w:val="00166AF4"/>
    <w:rsid w:val="00170525"/>
    <w:rsid w:val="00175E94"/>
    <w:rsid w:val="001808D1"/>
    <w:rsid w:val="00180B34"/>
    <w:rsid w:val="00181FDF"/>
    <w:rsid w:val="00183F7F"/>
    <w:rsid w:val="001953DE"/>
    <w:rsid w:val="0019601B"/>
    <w:rsid w:val="001A5D09"/>
    <w:rsid w:val="001B1B03"/>
    <w:rsid w:val="001B3017"/>
    <w:rsid w:val="001B769A"/>
    <w:rsid w:val="001C067F"/>
    <w:rsid w:val="001C47F0"/>
    <w:rsid w:val="001C4D22"/>
    <w:rsid w:val="001C54E9"/>
    <w:rsid w:val="001D01D9"/>
    <w:rsid w:val="001E54C7"/>
    <w:rsid w:val="001E60C0"/>
    <w:rsid w:val="001F0684"/>
    <w:rsid w:val="001F20FB"/>
    <w:rsid w:val="001F5A7B"/>
    <w:rsid w:val="00201AFE"/>
    <w:rsid w:val="00203A27"/>
    <w:rsid w:val="00204F2F"/>
    <w:rsid w:val="00206128"/>
    <w:rsid w:val="002109A6"/>
    <w:rsid w:val="00211720"/>
    <w:rsid w:val="00212C98"/>
    <w:rsid w:val="00214D59"/>
    <w:rsid w:val="00220792"/>
    <w:rsid w:val="002230E4"/>
    <w:rsid w:val="002257F6"/>
    <w:rsid w:val="00226F2B"/>
    <w:rsid w:val="002310B1"/>
    <w:rsid w:val="00232B3E"/>
    <w:rsid w:val="00235D08"/>
    <w:rsid w:val="002411BA"/>
    <w:rsid w:val="002473C7"/>
    <w:rsid w:val="002563A7"/>
    <w:rsid w:val="0026068E"/>
    <w:rsid w:val="002701A8"/>
    <w:rsid w:val="00277D55"/>
    <w:rsid w:val="00280493"/>
    <w:rsid w:val="0028721E"/>
    <w:rsid w:val="00287A1A"/>
    <w:rsid w:val="00295E20"/>
    <w:rsid w:val="0029689B"/>
    <w:rsid w:val="002B5DD4"/>
    <w:rsid w:val="002C00FA"/>
    <w:rsid w:val="002C2646"/>
    <w:rsid w:val="002C51DC"/>
    <w:rsid w:val="002C52EA"/>
    <w:rsid w:val="002C6F92"/>
    <w:rsid w:val="002D21E8"/>
    <w:rsid w:val="002D2EF6"/>
    <w:rsid w:val="002E5E0C"/>
    <w:rsid w:val="002F21A1"/>
    <w:rsid w:val="002F2E37"/>
    <w:rsid w:val="002F6AA6"/>
    <w:rsid w:val="00305DBC"/>
    <w:rsid w:val="0032520C"/>
    <w:rsid w:val="00326357"/>
    <w:rsid w:val="00333AA0"/>
    <w:rsid w:val="003447C4"/>
    <w:rsid w:val="00346493"/>
    <w:rsid w:val="0035021F"/>
    <w:rsid w:val="00356997"/>
    <w:rsid w:val="003629C3"/>
    <w:rsid w:val="00367CD5"/>
    <w:rsid w:val="00376A43"/>
    <w:rsid w:val="003A2629"/>
    <w:rsid w:val="003A2DF8"/>
    <w:rsid w:val="003A43CB"/>
    <w:rsid w:val="003A66E7"/>
    <w:rsid w:val="003B43F8"/>
    <w:rsid w:val="003C07DF"/>
    <w:rsid w:val="003C2006"/>
    <w:rsid w:val="003D36D6"/>
    <w:rsid w:val="003D3DC9"/>
    <w:rsid w:val="003E0DFC"/>
    <w:rsid w:val="003E22A2"/>
    <w:rsid w:val="003E519F"/>
    <w:rsid w:val="003F1F28"/>
    <w:rsid w:val="003F68B4"/>
    <w:rsid w:val="00400144"/>
    <w:rsid w:val="00406BEF"/>
    <w:rsid w:val="0040760D"/>
    <w:rsid w:val="00411E31"/>
    <w:rsid w:val="0041714E"/>
    <w:rsid w:val="00417476"/>
    <w:rsid w:val="004255F8"/>
    <w:rsid w:val="00425941"/>
    <w:rsid w:val="00425FB1"/>
    <w:rsid w:val="00433C1E"/>
    <w:rsid w:val="004376EC"/>
    <w:rsid w:val="00443E5A"/>
    <w:rsid w:val="00451D7A"/>
    <w:rsid w:val="00454455"/>
    <w:rsid w:val="0045773E"/>
    <w:rsid w:val="00460016"/>
    <w:rsid w:val="00461FA0"/>
    <w:rsid w:val="00466643"/>
    <w:rsid w:val="0046793A"/>
    <w:rsid w:val="00470D47"/>
    <w:rsid w:val="00477235"/>
    <w:rsid w:val="00477A60"/>
    <w:rsid w:val="004837AA"/>
    <w:rsid w:val="00484EB7"/>
    <w:rsid w:val="00495119"/>
    <w:rsid w:val="004A048A"/>
    <w:rsid w:val="004A3731"/>
    <w:rsid w:val="004A3C76"/>
    <w:rsid w:val="004C74F2"/>
    <w:rsid w:val="004D3F8A"/>
    <w:rsid w:val="004F137A"/>
    <w:rsid w:val="004F38AC"/>
    <w:rsid w:val="004F3944"/>
    <w:rsid w:val="004F617F"/>
    <w:rsid w:val="00507878"/>
    <w:rsid w:val="005133BF"/>
    <w:rsid w:val="005150B2"/>
    <w:rsid w:val="00517904"/>
    <w:rsid w:val="0052125E"/>
    <w:rsid w:val="0052215B"/>
    <w:rsid w:val="00525C71"/>
    <w:rsid w:val="00530D95"/>
    <w:rsid w:val="00533209"/>
    <w:rsid w:val="00535783"/>
    <w:rsid w:val="0053649E"/>
    <w:rsid w:val="00540E7C"/>
    <w:rsid w:val="00542D43"/>
    <w:rsid w:val="00551A8C"/>
    <w:rsid w:val="00556229"/>
    <w:rsid w:val="00562758"/>
    <w:rsid w:val="00574812"/>
    <w:rsid w:val="0057682A"/>
    <w:rsid w:val="00580146"/>
    <w:rsid w:val="00583371"/>
    <w:rsid w:val="005833DC"/>
    <w:rsid w:val="005862CB"/>
    <w:rsid w:val="00586E76"/>
    <w:rsid w:val="00591D9B"/>
    <w:rsid w:val="0059712E"/>
    <w:rsid w:val="005B6183"/>
    <w:rsid w:val="005B7801"/>
    <w:rsid w:val="005C0C05"/>
    <w:rsid w:val="005D288A"/>
    <w:rsid w:val="005D3314"/>
    <w:rsid w:val="005D6898"/>
    <w:rsid w:val="005D6B23"/>
    <w:rsid w:val="005E7A0A"/>
    <w:rsid w:val="005F6444"/>
    <w:rsid w:val="005F6786"/>
    <w:rsid w:val="00600F9A"/>
    <w:rsid w:val="00603E7D"/>
    <w:rsid w:val="00606969"/>
    <w:rsid w:val="006161CD"/>
    <w:rsid w:val="006264AF"/>
    <w:rsid w:val="006328BD"/>
    <w:rsid w:val="0063712F"/>
    <w:rsid w:val="00640B1B"/>
    <w:rsid w:val="00641A78"/>
    <w:rsid w:val="00642B73"/>
    <w:rsid w:val="006479D8"/>
    <w:rsid w:val="00656014"/>
    <w:rsid w:val="00656C11"/>
    <w:rsid w:val="006667FC"/>
    <w:rsid w:val="00666B52"/>
    <w:rsid w:val="0067184B"/>
    <w:rsid w:val="00676D34"/>
    <w:rsid w:val="00687B8B"/>
    <w:rsid w:val="006912B9"/>
    <w:rsid w:val="0069265A"/>
    <w:rsid w:val="006938E5"/>
    <w:rsid w:val="00697762"/>
    <w:rsid w:val="006A18DA"/>
    <w:rsid w:val="006A6249"/>
    <w:rsid w:val="006B4F60"/>
    <w:rsid w:val="006C0B73"/>
    <w:rsid w:val="006C1F30"/>
    <w:rsid w:val="006C42D7"/>
    <w:rsid w:val="006C5120"/>
    <w:rsid w:val="006C6BF8"/>
    <w:rsid w:val="006C7AE0"/>
    <w:rsid w:val="006E2EAE"/>
    <w:rsid w:val="006E39CD"/>
    <w:rsid w:val="00710E64"/>
    <w:rsid w:val="00712B19"/>
    <w:rsid w:val="00713308"/>
    <w:rsid w:val="00716846"/>
    <w:rsid w:val="007173A5"/>
    <w:rsid w:val="007208DF"/>
    <w:rsid w:val="00721D6C"/>
    <w:rsid w:val="00731003"/>
    <w:rsid w:val="00731D3B"/>
    <w:rsid w:val="0073404C"/>
    <w:rsid w:val="00736C2F"/>
    <w:rsid w:val="0074532E"/>
    <w:rsid w:val="00746177"/>
    <w:rsid w:val="007571C6"/>
    <w:rsid w:val="00761253"/>
    <w:rsid w:val="007667D5"/>
    <w:rsid w:val="0077285F"/>
    <w:rsid w:val="0077614C"/>
    <w:rsid w:val="007815EA"/>
    <w:rsid w:val="007819F5"/>
    <w:rsid w:val="007836BA"/>
    <w:rsid w:val="00785016"/>
    <w:rsid w:val="00790FC5"/>
    <w:rsid w:val="00794218"/>
    <w:rsid w:val="00794515"/>
    <w:rsid w:val="007A21D4"/>
    <w:rsid w:val="007A4410"/>
    <w:rsid w:val="007A5DEA"/>
    <w:rsid w:val="007B2C43"/>
    <w:rsid w:val="007C28E8"/>
    <w:rsid w:val="007C62F8"/>
    <w:rsid w:val="007C7546"/>
    <w:rsid w:val="007D0295"/>
    <w:rsid w:val="007D286C"/>
    <w:rsid w:val="007E072C"/>
    <w:rsid w:val="007E14FB"/>
    <w:rsid w:val="007E6376"/>
    <w:rsid w:val="007F7461"/>
    <w:rsid w:val="00800597"/>
    <w:rsid w:val="00803608"/>
    <w:rsid w:val="00815B7F"/>
    <w:rsid w:val="0083639E"/>
    <w:rsid w:val="00836DCC"/>
    <w:rsid w:val="008378B4"/>
    <w:rsid w:val="008400E5"/>
    <w:rsid w:val="00840682"/>
    <w:rsid w:val="008535EF"/>
    <w:rsid w:val="00855761"/>
    <w:rsid w:val="00857451"/>
    <w:rsid w:val="00861098"/>
    <w:rsid w:val="008650AF"/>
    <w:rsid w:val="008651BA"/>
    <w:rsid w:val="008679C5"/>
    <w:rsid w:val="008769BB"/>
    <w:rsid w:val="00887493"/>
    <w:rsid w:val="00890821"/>
    <w:rsid w:val="00893A4A"/>
    <w:rsid w:val="00894F75"/>
    <w:rsid w:val="00896D4B"/>
    <w:rsid w:val="008A45C2"/>
    <w:rsid w:val="008A5AF4"/>
    <w:rsid w:val="008B1667"/>
    <w:rsid w:val="008C46D3"/>
    <w:rsid w:val="008D6800"/>
    <w:rsid w:val="008E210F"/>
    <w:rsid w:val="008E6CB0"/>
    <w:rsid w:val="008F00FB"/>
    <w:rsid w:val="0090178E"/>
    <w:rsid w:val="00912E6D"/>
    <w:rsid w:val="00920FE0"/>
    <w:rsid w:val="009248C2"/>
    <w:rsid w:val="00924999"/>
    <w:rsid w:val="00930D0A"/>
    <w:rsid w:val="00942603"/>
    <w:rsid w:val="0095126C"/>
    <w:rsid w:val="00951CA6"/>
    <w:rsid w:val="00955C32"/>
    <w:rsid w:val="00957B1D"/>
    <w:rsid w:val="00957DDE"/>
    <w:rsid w:val="00962218"/>
    <w:rsid w:val="009643CD"/>
    <w:rsid w:val="00967F56"/>
    <w:rsid w:val="009741CD"/>
    <w:rsid w:val="00977493"/>
    <w:rsid w:val="00995D71"/>
    <w:rsid w:val="009973D3"/>
    <w:rsid w:val="009A3CDC"/>
    <w:rsid w:val="009A57B1"/>
    <w:rsid w:val="009A7D3B"/>
    <w:rsid w:val="009B03EE"/>
    <w:rsid w:val="009B41DB"/>
    <w:rsid w:val="009C0910"/>
    <w:rsid w:val="009C0FEF"/>
    <w:rsid w:val="009D481B"/>
    <w:rsid w:val="009D59D1"/>
    <w:rsid w:val="009E36B9"/>
    <w:rsid w:val="009E38E4"/>
    <w:rsid w:val="009F12D6"/>
    <w:rsid w:val="009F2C5C"/>
    <w:rsid w:val="009F34E0"/>
    <w:rsid w:val="00A00544"/>
    <w:rsid w:val="00A01A3C"/>
    <w:rsid w:val="00A02B89"/>
    <w:rsid w:val="00A10438"/>
    <w:rsid w:val="00A11F24"/>
    <w:rsid w:val="00A45819"/>
    <w:rsid w:val="00A46B7D"/>
    <w:rsid w:val="00A47A78"/>
    <w:rsid w:val="00A53A05"/>
    <w:rsid w:val="00A60984"/>
    <w:rsid w:val="00A67FB3"/>
    <w:rsid w:val="00A709B4"/>
    <w:rsid w:val="00A80D08"/>
    <w:rsid w:val="00A86491"/>
    <w:rsid w:val="00A92FC5"/>
    <w:rsid w:val="00A94BCB"/>
    <w:rsid w:val="00A97204"/>
    <w:rsid w:val="00AA701D"/>
    <w:rsid w:val="00AA73A0"/>
    <w:rsid w:val="00AB1BCE"/>
    <w:rsid w:val="00AC4543"/>
    <w:rsid w:val="00AE127D"/>
    <w:rsid w:val="00AE764F"/>
    <w:rsid w:val="00B0510B"/>
    <w:rsid w:val="00B1157D"/>
    <w:rsid w:val="00B167A3"/>
    <w:rsid w:val="00B322B9"/>
    <w:rsid w:val="00B41512"/>
    <w:rsid w:val="00B44D08"/>
    <w:rsid w:val="00B45922"/>
    <w:rsid w:val="00B46C9D"/>
    <w:rsid w:val="00B61EC7"/>
    <w:rsid w:val="00B73627"/>
    <w:rsid w:val="00B90E94"/>
    <w:rsid w:val="00B914D7"/>
    <w:rsid w:val="00B9184C"/>
    <w:rsid w:val="00B919C9"/>
    <w:rsid w:val="00B96D9D"/>
    <w:rsid w:val="00B97166"/>
    <w:rsid w:val="00B976A3"/>
    <w:rsid w:val="00BA6156"/>
    <w:rsid w:val="00BA718B"/>
    <w:rsid w:val="00BB2A46"/>
    <w:rsid w:val="00BB631C"/>
    <w:rsid w:val="00BD7B88"/>
    <w:rsid w:val="00BD7C75"/>
    <w:rsid w:val="00BE5523"/>
    <w:rsid w:val="00BF2495"/>
    <w:rsid w:val="00BF281E"/>
    <w:rsid w:val="00C0677F"/>
    <w:rsid w:val="00C138DA"/>
    <w:rsid w:val="00C1622A"/>
    <w:rsid w:val="00C25ECD"/>
    <w:rsid w:val="00C26A2A"/>
    <w:rsid w:val="00C471E0"/>
    <w:rsid w:val="00C53705"/>
    <w:rsid w:val="00C53864"/>
    <w:rsid w:val="00C542BB"/>
    <w:rsid w:val="00C632C6"/>
    <w:rsid w:val="00C64AA2"/>
    <w:rsid w:val="00C66E34"/>
    <w:rsid w:val="00C67504"/>
    <w:rsid w:val="00C7088E"/>
    <w:rsid w:val="00C74D92"/>
    <w:rsid w:val="00C75CDF"/>
    <w:rsid w:val="00C81563"/>
    <w:rsid w:val="00C841B4"/>
    <w:rsid w:val="00CA3C76"/>
    <w:rsid w:val="00CA4BB0"/>
    <w:rsid w:val="00CA4BDA"/>
    <w:rsid w:val="00CA7E34"/>
    <w:rsid w:val="00CB52A2"/>
    <w:rsid w:val="00CB5456"/>
    <w:rsid w:val="00CB7085"/>
    <w:rsid w:val="00CC5CF7"/>
    <w:rsid w:val="00CC67A0"/>
    <w:rsid w:val="00CD5B7E"/>
    <w:rsid w:val="00CF767E"/>
    <w:rsid w:val="00D01D65"/>
    <w:rsid w:val="00D022BF"/>
    <w:rsid w:val="00D0335C"/>
    <w:rsid w:val="00D12280"/>
    <w:rsid w:val="00D17C39"/>
    <w:rsid w:val="00D2546D"/>
    <w:rsid w:val="00D26162"/>
    <w:rsid w:val="00D360A0"/>
    <w:rsid w:val="00D418B1"/>
    <w:rsid w:val="00D44272"/>
    <w:rsid w:val="00D450A5"/>
    <w:rsid w:val="00D509F1"/>
    <w:rsid w:val="00D66117"/>
    <w:rsid w:val="00D75A44"/>
    <w:rsid w:val="00D771DA"/>
    <w:rsid w:val="00D8418A"/>
    <w:rsid w:val="00D8603A"/>
    <w:rsid w:val="00D971FE"/>
    <w:rsid w:val="00DA17D9"/>
    <w:rsid w:val="00DA2477"/>
    <w:rsid w:val="00DA278F"/>
    <w:rsid w:val="00DA4417"/>
    <w:rsid w:val="00DA7454"/>
    <w:rsid w:val="00DA7F5C"/>
    <w:rsid w:val="00DB14D8"/>
    <w:rsid w:val="00DB402F"/>
    <w:rsid w:val="00DB4D5B"/>
    <w:rsid w:val="00DB4FF5"/>
    <w:rsid w:val="00DB7287"/>
    <w:rsid w:val="00DC482B"/>
    <w:rsid w:val="00DC4960"/>
    <w:rsid w:val="00DC4D06"/>
    <w:rsid w:val="00DC7CF3"/>
    <w:rsid w:val="00DD347B"/>
    <w:rsid w:val="00DD7529"/>
    <w:rsid w:val="00DD7A43"/>
    <w:rsid w:val="00DE5FC6"/>
    <w:rsid w:val="00DF1558"/>
    <w:rsid w:val="00DF22AA"/>
    <w:rsid w:val="00DF3FD0"/>
    <w:rsid w:val="00E0300E"/>
    <w:rsid w:val="00E04EE3"/>
    <w:rsid w:val="00E064DD"/>
    <w:rsid w:val="00E108A7"/>
    <w:rsid w:val="00E11EBE"/>
    <w:rsid w:val="00E24B38"/>
    <w:rsid w:val="00E26F0A"/>
    <w:rsid w:val="00E274F5"/>
    <w:rsid w:val="00E30498"/>
    <w:rsid w:val="00E415BE"/>
    <w:rsid w:val="00E55370"/>
    <w:rsid w:val="00E63540"/>
    <w:rsid w:val="00E64F2A"/>
    <w:rsid w:val="00E829EC"/>
    <w:rsid w:val="00E93A9C"/>
    <w:rsid w:val="00E977B1"/>
    <w:rsid w:val="00E97BF2"/>
    <w:rsid w:val="00EA1310"/>
    <w:rsid w:val="00EB2079"/>
    <w:rsid w:val="00EB45A2"/>
    <w:rsid w:val="00EB580F"/>
    <w:rsid w:val="00EB6286"/>
    <w:rsid w:val="00EC3E80"/>
    <w:rsid w:val="00EE23B6"/>
    <w:rsid w:val="00EE5745"/>
    <w:rsid w:val="00EE58A1"/>
    <w:rsid w:val="00EE5D88"/>
    <w:rsid w:val="00EF004D"/>
    <w:rsid w:val="00EF6E53"/>
    <w:rsid w:val="00F030C6"/>
    <w:rsid w:val="00F045B4"/>
    <w:rsid w:val="00F1160A"/>
    <w:rsid w:val="00F1295E"/>
    <w:rsid w:val="00F165E9"/>
    <w:rsid w:val="00F32151"/>
    <w:rsid w:val="00F358F1"/>
    <w:rsid w:val="00F41912"/>
    <w:rsid w:val="00F4267A"/>
    <w:rsid w:val="00F53D3D"/>
    <w:rsid w:val="00F6087A"/>
    <w:rsid w:val="00F63B05"/>
    <w:rsid w:val="00F70C0A"/>
    <w:rsid w:val="00F7400D"/>
    <w:rsid w:val="00F76913"/>
    <w:rsid w:val="00F770D3"/>
    <w:rsid w:val="00F800B0"/>
    <w:rsid w:val="00F86217"/>
    <w:rsid w:val="00FA29CD"/>
    <w:rsid w:val="00FB4F8B"/>
    <w:rsid w:val="00FB5BFE"/>
    <w:rsid w:val="00FC009C"/>
    <w:rsid w:val="00FC0C14"/>
    <w:rsid w:val="00FC5A97"/>
    <w:rsid w:val="00FD421C"/>
    <w:rsid w:val="00FD56F5"/>
    <w:rsid w:val="00FD6A65"/>
    <w:rsid w:val="00FD6D4D"/>
    <w:rsid w:val="00FE48BA"/>
    <w:rsid w:val="00FF28E9"/>
    <w:rsid w:val="00FF2B1E"/>
    <w:rsid w:val="00FF435F"/>
    <w:rsid w:val="00FF4FA8"/>
    <w:rsid w:val="053F4ACA"/>
    <w:rsid w:val="077F5613"/>
    <w:rsid w:val="0A17427D"/>
    <w:rsid w:val="0DEC54EB"/>
    <w:rsid w:val="102D1BC2"/>
    <w:rsid w:val="12D41FBB"/>
    <w:rsid w:val="140E5F1C"/>
    <w:rsid w:val="1D1B59D1"/>
    <w:rsid w:val="2F467BE1"/>
    <w:rsid w:val="3846384F"/>
    <w:rsid w:val="3C464626"/>
    <w:rsid w:val="454D50A4"/>
    <w:rsid w:val="587B40FC"/>
    <w:rsid w:val="67761EAC"/>
    <w:rsid w:val="6D7835F0"/>
    <w:rsid w:val="6DBD0611"/>
    <w:rsid w:val="73E12EF1"/>
    <w:rsid w:val="74923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uiPriority="0" w:name="footnote text"/>
    <w:lsdException w:unhideWhenUsed="0"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ocked="1"/>
    <w:lsdException w:uiPriority="0" w:name="Document Map"/>
    <w:lsdException w:qFormat="1"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tabs>
        <w:tab w:val="left" w:pos="720"/>
      </w:tabs>
      <w:ind w:left="1440" w:hanging="1440"/>
      <w:jc w:val="center"/>
      <w:outlineLvl w:val="0"/>
    </w:pPr>
    <w:rPr>
      <w:rFonts w:ascii="Arial" w:hAnsi="Arial"/>
      <w:b/>
      <w:kern w:val="0"/>
      <w:sz w:val="20"/>
      <w:szCs w:val="20"/>
      <w:lang w:val="en-AU" w:eastAsia="en-US"/>
    </w:rPr>
  </w:style>
  <w:style w:type="paragraph" w:styleId="3">
    <w:name w:val="heading 2"/>
    <w:basedOn w:val="1"/>
    <w:next w:val="1"/>
    <w:link w:val="20"/>
    <w:qFormat/>
    <w:uiPriority w:val="0"/>
    <w:pPr>
      <w:keepNext/>
      <w:outlineLvl w:val="1"/>
    </w:pPr>
    <w:rPr>
      <w:rFonts w:ascii="Arial" w:hAnsi="Arial"/>
      <w:b/>
      <w:kern w:val="0"/>
      <w:sz w:val="20"/>
      <w:szCs w:val="20"/>
      <w:u w:val="single"/>
      <w:lang w:val="en-AU" w:eastAsia="en-US"/>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iPriority w:val="0"/>
    <w:pPr>
      <w:jc w:val="left"/>
    </w:pPr>
    <w:rPr>
      <w:sz w:val="24"/>
    </w:rPr>
  </w:style>
  <w:style w:type="paragraph" w:styleId="5">
    <w:name w:val="Plain Text"/>
    <w:basedOn w:val="1"/>
    <w:link w:val="22"/>
    <w:qFormat/>
    <w:uiPriority w:val="0"/>
    <w:rPr>
      <w:rFonts w:ascii="宋体" w:hAnsi="Courier New"/>
      <w:szCs w:val="21"/>
    </w:rPr>
  </w:style>
  <w:style w:type="paragraph" w:styleId="6">
    <w:name w:val="Balloon Text"/>
    <w:basedOn w:val="1"/>
    <w:link w:val="23"/>
    <w:semiHidden/>
    <w:uiPriority w:val="0"/>
    <w:rPr>
      <w:sz w:val="18"/>
      <w:szCs w:val="18"/>
    </w:r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header"/>
    <w:basedOn w:val="1"/>
    <w:link w:val="25"/>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link w:val="26"/>
    <w:qFormat/>
    <w:uiPriority w:val="0"/>
    <w:pPr>
      <w:jc w:val="center"/>
    </w:pPr>
    <w:rPr>
      <w:rFonts w:ascii="Arial" w:hAnsi="Arial"/>
      <w:b/>
      <w:kern w:val="0"/>
      <w:sz w:val="20"/>
      <w:szCs w:val="20"/>
      <w:lang w:eastAsia="en-US"/>
    </w:rPr>
  </w:style>
  <w:style w:type="paragraph" w:styleId="10">
    <w:name w:val="Normal (Web)"/>
    <w:basedOn w:val="1"/>
    <w:uiPriority w:val="0"/>
    <w:pPr>
      <w:spacing w:line="270" w:lineRule="atLeast"/>
      <w:jc w:val="left"/>
    </w:pPr>
    <w:rPr>
      <w:kern w:val="0"/>
      <w:sz w:val="24"/>
    </w:rPr>
  </w:style>
  <w:style w:type="paragraph" w:styleId="11">
    <w:name w:val="Title"/>
    <w:basedOn w:val="1"/>
    <w:link w:val="27"/>
    <w:qFormat/>
    <w:uiPriority w:val="0"/>
    <w:pPr>
      <w:jc w:val="center"/>
    </w:pPr>
    <w:rPr>
      <w:rFonts w:ascii="Arial" w:hAnsi="Arial"/>
      <w:b/>
      <w:kern w:val="0"/>
      <w:sz w:val="20"/>
      <w:szCs w:val="20"/>
      <w:lang w:eastAsia="en-US"/>
    </w:rPr>
  </w:style>
  <w:style w:type="paragraph" w:styleId="12">
    <w:name w:val="annotation subject"/>
    <w:basedOn w:val="4"/>
    <w:next w:val="4"/>
    <w:link w:val="28"/>
    <w:semiHidden/>
    <w:uiPriority w:val="0"/>
    <w:rPr>
      <w:b/>
      <w:bCs/>
    </w:rPr>
  </w:style>
  <w:style w:type="character" w:styleId="15">
    <w:name w:val="Strong"/>
    <w:qFormat/>
    <w:uiPriority w:val="0"/>
    <w:rPr>
      <w:rFonts w:cs="Times New Roman"/>
      <w:b/>
      <w:bCs/>
    </w:rPr>
  </w:style>
  <w:style w:type="character" w:styleId="16">
    <w:name w:val="page number"/>
    <w:uiPriority w:val="0"/>
    <w:rPr>
      <w:rFonts w:cs="Times New Roman"/>
    </w:rPr>
  </w:style>
  <w:style w:type="character" w:styleId="17">
    <w:name w:val="Hyperlink"/>
    <w:qFormat/>
    <w:uiPriority w:val="0"/>
    <w:rPr>
      <w:rFonts w:cs="Times New Roman"/>
      <w:color w:val="0000FF"/>
      <w:u w:val="single"/>
    </w:rPr>
  </w:style>
  <w:style w:type="character" w:styleId="18">
    <w:name w:val="annotation reference"/>
    <w:semiHidden/>
    <w:uiPriority w:val="0"/>
    <w:rPr>
      <w:rFonts w:cs="Times New Roman"/>
      <w:sz w:val="21"/>
      <w:szCs w:val="21"/>
    </w:rPr>
  </w:style>
  <w:style w:type="character" w:customStyle="1" w:styleId="19">
    <w:name w:val="标题 1 Char"/>
    <w:link w:val="2"/>
    <w:qFormat/>
    <w:locked/>
    <w:uiPriority w:val="0"/>
    <w:rPr>
      <w:rFonts w:ascii="Arial" w:hAnsi="Arial" w:eastAsia="宋体" w:cs="Times New Roman"/>
      <w:b/>
      <w:kern w:val="0"/>
      <w:sz w:val="20"/>
      <w:szCs w:val="20"/>
      <w:lang w:val="en-AU" w:eastAsia="en-US"/>
    </w:rPr>
  </w:style>
  <w:style w:type="character" w:customStyle="1" w:styleId="20">
    <w:name w:val="标题 2 Char"/>
    <w:link w:val="3"/>
    <w:qFormat/>
    <w:locked/>
    <w:uiPriority w:val="0"/>
    <w:rPr>
      <w:rFonts w:ascii="Arial" w:hAnsi="Arial" w:eastAsia="宋体" w:cs="Times New Roman"/>
      <w:b/>
      <w:kern w:val="0"/>
      <w:sz w:val="20"/>
      <w:szCs w:val="20"/>
      <w:u w:val="single"/>
      <w:lang w:val="en-AU" w:eastAsia="en-US"/>
    </w:rPr>
  </w:style>
  <w:style w:type="character" w:customStyle="1" w:styleId="21">
    <w:name w:val="批注文字 Char"/>
    <w:link w:val="4"/>
    <w:semiHidden/>
    <w:locked/>
    <w:uiPriority w:val="0"/>
    <w:rPr>
      <w:rFonts w:ascii="Times New Roman" w:hAnsi="Times New Roman" w:cs="Times New Roman"/>
      <w:kern w:val="2"/>
      <w:sz w:val="24"/>
      <w:szCs w:val="24"/>
    </w:rPr>
  </w:style>
  <w:style w:type="character" w:customStyle="1" w:styleId="22">
    <w:name w:val="纯文本 Char"/>
    <w:link w:val="5"/>
    <w:qFormat/>
    <w:locked/>
    <w:uiPriority w:val="0"/>
    <w:rPr>
      <w:rFonts w:ascii="宋体" w:hAnsi="Courier New" w:cs="Courier New"/>
      <w:kern w:val="2"/>
      <w:sz w:val="21"/>
      <w:szCs w:val="21"/>
    </w:rPr>
  </w:style>
  <w:style w:type="character" w:customStyle="1" w:styleId="23">
    <w:name w:val="批注框文本 Char"/>
    <w:link w:val="6"/>
    <w:semiHidden/>
    <w:locked/>
    <w:uiPriority w:val="0"/>
    <w:rPr>
      <w:rFonts w:ascii="Times New Roman" w:hAnsi="Times New Roman" w:cs="Times New Roman"/>
      <w:kern w:val="2"/>
      <w:sz w:val="18"/>
      <w:szCs w:val="18"/>
    </w:rPr>
  </w:style>
  <w:style w:type="character" w:customStyle="1" w:styleId="24">
    <w:name w:val="页脚 Char"/>
    <w:link w:val="7"/>
    <w:locked/>
    <w:uiPriority w:val="99"/>
    <w:rPr>
      <w:rFonts w:ascii="Times New Roman" w:hAnsi="Times New Roman" w:cs="Times New Roman"/>
      <w:kern w:val="2"/>
      <w:sz w:val="18"/>
      <w:szCs w:val="18"/>
    </w:rPr>
  </w:style>
  <w:style w:type="character" w:customStyle="1" w:styleId="25">
    <w:name w:val="页眉 Char"/>
    <w:link w:val="8"/>
    <w:qFormat/>
    <w:locked/>
    <w:uiPriority w:val="0"/>
    <w:rPr>
      <w:rFonts w:ascii="Times New Roman" w:hAnsi="Times New Roman" w:cs="Times New Roman"/>
      <w:kern w:val="2"/>
      <w:sz w:val="18"/>
      <w:szCs w:val="18"/>
    </w:rPr>
  </w:style>
  <w:style w:type="character" w:customStyle="1" w:styleId="26">
    <w:name w:val="副标题 Char"/>
    <w:link w:val="9"/>
    <w:qFormat/>
    <w:locked/>
    <w:uiPriority w:val="0"/>
    <w:rPr>
      <w:rFonts w:ascii="Arial" w:hAnsi="Arial" w:eastAsia="宋体" w:cs="Times New Roman"/>
      <w:b/>
      <w:kern w:val="0"/>
      <w:sz w:val="20"/>
      <w:szCs w:val="20"/>
      <w:lang w:eastAsia="en-US"/>
    </w:rPr>
  </w:style>
  <w:style w:type="character" w:customStyle="1" w:styleId="27">
    <w:name w:val="标题 Char"/>
    <w:link w:val="11"/>
    <w:locked/>
    <w:uiPriority w:val="0"/>
    <w:rPr>
      <w:rFonts w:ascii="Arial" w:hAnsi="Arial" w:eastAsia="宋体" w:cs="Times New Roman"/>
      <w:b/>
      <w:kern w:val="0"/>
      <w:sz w:val="20"/>
      <w:szCs w:val="20"/>
      <w:lang w:eastAsia="en-US"/>
    </w:rPr>
  </w:style>
  <w:style w:type="character" w:customStyle="1" w:styleId="28">
    <w:name w:val="批注主题 Char"/>
    <w:link w:val="12"/>
    <w:semiHidden/>
    <w:qFormat/>
    <w:locked/>
    <w:uiPriority w:val="0"/>
    <w:rPr>
      <w:rFonts w:ascii="Times New Roman" w:hAnsi="Times New Roman" w:cs="Times New Roman"/>
      <w:b/>
      <w:bCs/>
      <w:kern w:val="2"/>
      <w:sz w:val="24"/>
      <w:szCs w:val="24"/>
    </w:rPr>
  </w:style>
  <w:style w:type="paragraph" w:customStyle="1" w:styleId="29">
    <w:name w:val="列出段落1"/>
    <w:basedOn w:val="1"/>
    <w:qFormat/>
    <w:uiPriority w:val="0"/>
    <w:pPr>
      <w:ind w:firstLine="420" w:firstLineChars="200"/>
    </w:pPr>
  </w:style>
  <w:style w:type="paragraph" w:customStyle="1" w:styleId="30">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31">
    <w:name w:val="Char Char Char Char"/>
    <w:basedOn w:val="1"/>
    <w:next w:val="1"/>
    <w:qFormat/>
    <w:uiPriority w:val="0"/>
    <w:pPr>
      <w:widowControl/>
      <w:spacing w:before="120" w:after="120"/>
      <w:jc w:val="left"/>
    </w:pPr>
    <w:rPr>
      <w:rFonts w:ascii="Verdana" w:hAnsi="Verdana" w:eastAsia="Batang"/>
      <w:kern w:val="0"/>
      <w:sz w:val="18"/>
      <w:szCs w:val="20"/>
      <w:lang w:eastAsia="en-US"/>
    </w:rPr>
  </w:style>
  <w:style w:type="paragraph" w:customStyle="1" w:styleId="32">
    <w:name w:val="Char"/>
    <w:basedOn w:val="1"/>
    <w:qFormat/>
    <w:uiPriority w:val="0"/>
    <w:rPr>
      <w:rFonts w:ascii="Tahoma" w:hAnsi="Tahoma"/>
      <w:sz w:val="24"/>
      <w:szCs w:val="20"/>
    </w:rPr>
  </w:style>
  <w:style w:type="paragraph" w:customStyle="1" w:styleId="33">
    <w:name w:val="TOC Heading"/>
    <w:basedOn w:val="2"/>
    <w:next w:val="1"/>
    <w:qFormat/>
    <w:uiPriority w:val="39"/>
    <w:pPr>
      <w:keepLines/>
      <w:widowControl/>
      <w:tabs>
        <w:tab w:val="clear" w:pos="720"/>
      </w:tabs>
      <w:spacing w:before="480" w:line="276" w:lineRule="auto"/>
      <w:ind w:left="0" w:firstLine="0"/>
      <w:jc w:val="left"/>
      <w:outlineLvl w:val="9"/>
    </w:pPr>
    <w:rPr>
      <w:rFonts w:ascii="Cambria" w:hAnsi="Cambria"/>
      <w:bCs/>
      <w:color w:val="365F91"/>
      <w:sz w:val="28"/>
      <w:szCs w:val="28"/>
      <w:lang w:val="en-US" w:eastAsia="zh-CN"/>
    </w:rPr>
  </w:style>
  <w:style w:type="paragraph" w:customStyle="1" w:styleId="34">
    <w:name w:val="样式 方正小标宋简体 (符号) 仿宋 二号 黑色 首行缩进:  3 字符"/>
    <w:basedOn w:val="11"/>
    <w:qFormat/>
    <w:uiPriority w:val="0"/>
    <w:pPr>
      <w:ind w:firstLine="1320" w:firstLineChars="300"/>
    </w:pPr>
    <w:rPr>
      <w:rFonts w:ascii="方正小标宋简体" w:hAnsi="仿宋" w:eastAsia="方正小标宋简体" w:cs="宋体"/>
      <w:color w:val="000000"/>
      <w:sz w:val="44"/>
    </w:rPr>
  </w:style>
  <w:style w:type="paragraph" w:customStyle="1" w:styleId="35">
    <w:name w:val="样式 黑体 (符号) 仿宋 三号 黑色 居中"/>
    <w:basedOn w:val="2"/>
    <w:qFormat/>
    <w:uiPriority w:val="0"/>
    <w:rPr>
      <w:rFonts w:ascii="黑体" w:hAnsi="仿宋" w:eastAsia="黑体" w:cs="宋体"/>
      <w:color w:val="000000"/>
      <w:sz w:val="32"/>
    </w:rPr>
  </w:style>
  <w:style w:type="paragraph" w:customStyle="1" w:styleId="36">
    <w:name w:val="样式 黑体 (符号) 仿宋 三号 黑色 居中1"/>
    <w:basedOn w:val="2"/>
    <w:qFormat/>
    <w:uiPriority w:val="0"/>
    <w:rPr>
      <w:rFonts w:ascii="黑体" w:hAnsi="仿宋" w:eastAsia="黑体" w:cs="宋体"/>
      <w:color w:val="000000"/>
      <w:sz w:val="32"/>
    </w:rPr>
  </w:style>
  <w:style w:type="paragraph" w:customStyle="1" w:styleId="37">
    <w:name w:val="16"/>
    <w:basedOn w:val="1"/>
    <w:qFormat/>
    <w:uiPriority w:val="0"/>
    <w:pPr>
      <w:widowControl/>
      <w:snapToGrid w:val="0"/>
      <w:spacing w:before="100" w:beforeAutospacing="1" w:after="100" w:afterAutospacing="1"/>
    </w:pPr>
    <w:rPr>
      <w:rFonts w:ascii="宋体" w:hAnsi="宋体" w:cs="宋体"/>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742</Words>
  <Characters>4233</Characters>
  <Lines>35</Lines>
  <Paragraphs>9</Paragraphs>
  <TotalTime>35</TotalTime>
  <ScaleCrop>false</ScaleCrop>
  <LinksUpToDate>false</LinksUpToDate>
  <CharactersWithSpaces>4966</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2023-12-22T04:44:00Z</dcterms:created>
  <dc:creator>CCB</dc:creator>
  <cp:lastModifiedBy>boimc</cp:lastModifiedBy>
  <cp:lastPrinted>2023-11-28T07:34:00Z</cp:lastPrinted>
  <dcterms:modified xsi:type="dcterms:W3CDTF">2025-12-11T07:21:00Z</dcterms:modified>
  <dc:title>信用卡积分规则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CAFF9A6B32F149B28956B6AA1DA532C6</vt:lpwstr>
  </property>
</Properties>
</file>